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SLK, formally known as STE20‐like serine/threonine‐protein kinase and encoded by the gene KIAA0204 (also designated STK2), belongs to the STE20 kinase family, which is evolutionarily conserved among eukaryotes. Within this broad family, SLK is classified in the germinal center kinase (GCK) subfamily, a group of STE20‐related kinases that function as MAP4Ks in diverse signaling cascades. Orthologs of SLK have been identified in mammalian species – including human, mouse, and guinea pig – where the protein is ubiquitously expressed, and bioinformatic studies have revealed homologous kinases in plants, thus underlining its ancient evolutionary origin and conserved biological role (alzahrani2013ste20likekinaseslk pages 1-2, karpov2009bioinformaticssearchfor pages 4-5). Sequence comparisons further demonstrate that the N‐terminal catalytic domain of SLK shares significant similarity with kinases such as LOK (with approximately 74% identity in the kinase region) and MST1 (approximately 26%), indicating that SLK evolved in close association with these kinases and may share functional and regulatory characteristics with them (alzahrani2013ste20likekinaseslk pages 1-2, cybulsky2017regulationofste20like pages 1-2). Moreover, phylogenetic analyses performed on STE20‐related kinases have placed SLK within a group characterized by a conserved kinase domain alongside C-terminal regions that are important for dimerization and regulatory protein interactions, consistent with its assignment to an evolutionarily distinct branch within the kinome (karpov2009bioinformaticsearchof pages 2-4).</w:t>
      </w:r>
    </w:p>
    <w:p>
      <w:pPr>
        <w:numPr>
          <w:ilvl w:val="0"/>
          <w:numId w:val="1001"/>
        </w:numPr>
      </w:pPr>
      <w:r>
        <w:t xml:space="preserve">Reaction Catalyzed</w:t>
      </w:r>
      <w:r>
        <w:br/>
      </w:r>
      <w:r>
        <w:t xml:space="preserve">SLK functions as a serine/threonine kinase and catalyzes the phosphorylation reaction characteristic of this enzyme class. In this reaction, a phosphate group from adenosine triphosphate (ATP) is transferred to the hydroxyl group of serine or threonine residues on substrate proteins, yielding adenosine diphosphate (ADP), a phosphorylated substrate, and a proton (H⁺). The overall reaction is summarized as follows:</w:t>
      </w:r>
      <w:r>
        <w:br/>
      </w:r>
      <w:r>
        <w:t xml:space="preserve">ATP + [protein]-(L-serine or L-threonine) → ADP + [protein]-(L-serine/threonine)-phosphate + H⁺ (anti2009nonspecificserinethreonineprotein pages 25-27, Vaz2019enrichmentofatp pages 10-11).</w:t>
      </w:r>
    </w:p>
    <w:p>
      <w:pPr>
        <w:numPr>
          <w:ilvl w:val="0"/>
          <w:numId w:val="1001"/>
        </w:numPr>
      </w:pPr>
      <w:r>
        <w:t xml:space="preserve">Cofactor Requirements</w:t>
      </w:r>
      <w:r>
        <w:br/>
      </w:r>
      <w:r>
        <w:t xml:space="preserve">The catalytic activity of SLK, as with many serine/threonine kinases, is dependent on the presence of divalent metal ions. Experimental evidence and general kinase biochemistry dictate that Mg²⁺ acts as a critical cofactor in the binding and proper positioning of ATP within the active site, thereby enabling efficient phosphoryl transfer. Consequently, Mg²⁺ is required for SLK’s kinase activity (anti2009nonspecificserinethreonineprotein pages 25-27, Vaz2019enrichmentofatp pages 10-11).</w:t>
      </w:r>
    </w:p>
    <w:p>
      <w:pPr>
        <w:numPr>
          <w:ilvl w:val="0"/>
          <w:numId w:val="1001"/>
        </w:numPr>
      </w:pPr>
      <w:r>
        <w:t xml:space="preserve">Substrate Specificity</w:t>
      </w:r>
      <w:r>
        <w:br/>
      </w:r>
      <w:r>
        <w:t xml:space="preserve">SLK exhibits substrate specificity that is closely associated with its role in regulating cytoskeletal dynamics and apoptotic signaling. The enzyme phosphorylates proteins that are integral to the remodeling of the actin cytoskeleton and focal adhesion turnover. Notably, SLK phosphorylates ezrin at threonine residue T567, thereby modulating the linkage between the plasma membrane and the cortical actin cytoskeleton (cybulsky2017regulationofste20like pages 5-7). Additionally, SLK has been reported to phosphorylate RhoA at serine 188, a modification that results in the inhibition of RhoA-mediated arterial contraction (alzahrani2013ste20likekinaseslk pages 2-4). While a definitive consensus substrate motif for SLK has not been explicitly delineated in the available literature, the phosphorylation events on ezrin and RhoA suggest that SLK preferentially targets serine/threonine residues within protein domains that regulate cytoskeletal organization (cybulsky2017regulationofste20like pages 5-7, alzahrani2013ste20likekinaseslk pages 2-4).</w:t>
      </w:r>
    </w:p>
    <w:p>
      <w:pPr>
        <w:numPr>
          <w:ilvl w:val="0"/>
          <w:numId w:val="1001"/>
        </w:numPr>
      </w:pPr>
      <w:r>
        <w:t xml:space="preserve">Structure</w:t>
      </w:r>
      <w:r>
        <w:br/>
      </w:r>
      <w:r>
        <w:t xml:space="preserve">The structural organization of SLK is characterized by a modular architecture comprising an N-terminal catalytic domain and an extensive C-terminal regulatory region. The N-terminal domain, spanning approximately amino acids 1–338, contains the conserved catalytic motifs found in STE20 family kinases. Among these motifs are the signature Ste20 kinase sequence “TPYWMAPE,” centered around residue 193, and a canonical DFG motif located in the activation segment, which is essential for coordination of ATP and the divalent metal ion cofactor (alzahrani2013ste20likekinaseslk pages 1-2). Within this catalytic domain, key residues such as threonine 183 and serine 189 are critical for autophosphorylation and kinase activation, and mutation of these residues has been shown to significantly reduce enzyme activity (cybulsky2017regulationofste20like pages 5-7).</w:t>
      </w:r>
    </w:p>
    <w:p>
      <w:pPr>
        <w:pStyle w:val="FirstParagraph"/>
      </w:pPr>
      <w:r>
        <w:t xml:space="preserve">Beyond the catalytic domain, the C-terminal portion of SLK encompasses several predicted coiled-coil regions as well as an AT1–46 homology (ATH) domain, found between amino acids 788–936 and 957–1171, which are implicated in intramolecular and intermolecular interactions. These coiled-coil motifs facilitate homodimerization—a process that is required for full SLK activation as dimerization promotes efficient autophosphorylation of the activation loop (alzahrani2013ste20likekinaseslk pages 6-8, cybulsky2017regulationofste20like pages 22-23). In addition, a putative caspase 3 consensus cleavage site is present at residue 436. Cleavage at this site by caspase 3 during apoptotic signaling events results in the release of the catalytic domain and an actin-disassembling region, a process that is central to SLK’s pro-apoptotic function (sabourin2000caspase3cleavage pages 1-2, sabourin2000caspase3cleavage pages 8-8). Other key structural determinants include the ATP-binding lysine (K63), whose mutation (e.g., K63R) abolishes kinase activity, and residues that stabilize the active conformation through intramolecular interactions, such as glutamic acid 79 which forms a salt bridge with K63 (alzahrani2013ste20likekinaseslk pages 2-4, sabourin2000caspase3cleavage pages 1-2).</w:t>
      </w:r>
    </w:p>
    <w:p>
      <w:pPr>
        <w:pStyle w:val="Compact"/>
        <w:numPr>
          <w:ilvl w:val="0"/>
          <w:numId w:val="1002"/>
        </w:numPr>
      </w:pPr>
      <w:r>
        <w:t xml:space="preserve">Regulation</w:t>
      </w:r>
      <w:r>
        <w:br/>
      </w:r>
      <w:r>
        <w:t xml:space="preserve">SLK activity is tightly regulated through multiple mechanisms that modulate its catalytic function and substrate specificity. Autophosphorylation of the activation segment, particularly at threonine 183 and serine 189, is essential for transitioning SLK into an active conformation. Experimental evidence indicates that mutations at these positions compromise both autophosphorylation and downstream phosphorylation of substrates such as ezrin (cybulsky2017regulationofste20like pages 5-7, alzahrani2013ste20likekinaseslk pages 2-4). Furthermore, homodimerization mediated by the C-terminal coiled-coil regions is a critical step in SLK activation, as enforced dimerization promotes increased autophosphorylation and catalytic activity (cybulsky2017regulationofste20like pages 22-23, cybulsky2017regulationofste20like pages 23-24).</w:t>
      </w:r>
    </w:p>
    <w:p>
      <w:pPr>
        <w:pStyle w:val="FirstParagraph"/>
      </w:pPr>
      <w:r>
        <w:t xml:space="preserve">During apoptotic signaling, SLK is subject to caspase 3-mediated cleavage at a consensus site located around residue 436. This proteolytic event results in the generation of a truncated, yet catalytically active, N-terminal fragment that is capable of inducing apoptosis and promoting actin stress fiber disassembly (sabourin2000caspase3cleavage pages 1-2, sabourin2000caspase3cleavage pages 8-8). In addition to these post-translational modifications, interactions with scaffolding proteins, such as LIM domain binding proteins Ldb1 and Ldb2, contribute to the auto‐inhibitory control of SLK, thereby providing an additional layer of regulation that can be modulated in response to extracellular cues (alzahrani2013ste20likekinaseslk pages 6-8). Collectively, the regulatory mechanisms governing SLK involve a coordinated sequence of phosphorylation events, conformational changes driven by dimerization, and caspase-dependent proteolytic processing that together determine the kinase’s activity and functional output (cybulsky2017regulationofste20like pages 21-22, alzahrani2013ste20likekinaseslk pages 6-8).</w:t>
      </w:r>
    </w:p>
    <w:p>
      <w:pPr>
        <w:pStyle w:val="Compact"/>
        <w:numPr>
          <w:ilvl w:val="0"/>
          <w:numId w:val="1003"/>
        </w:numPr>
      </w:pPr>
      <w:r>
        <w:t xml:space="preserve">Function</w:t>
      </w:r>
      <w:r>
        <w:br/>
      </w:r>
      <w:r>
        <w:t xml:space="preserve">SLK is a multifunctional kinase that serves essential roles in mediating apoptosis as well as the dynamic regulation of the actin cytoskeleton. One of its primary biological functions is to induce actin stress fiber disassembly, a process that is critical for changes in cell morphology, migration, and focal adhesion turnover. The phosphorylation of substrates such as ezrin at threonine 567 directly links SLK activity to the remodeling of the cortical cytoskeleton, thus impacting cellular processes that require rapid structural reorganization (cybulsky2017regulationofste20like pages 5-7). Additionally, the phosphorylation of RhoA at serine 188 by SLK serves to inhibit RhoA-mediated contractile activity, further contributing to cytoskeletal regulation and modulating vascular smooth muscle dynamics (alzahrani2013ste20likekinaseslk pages 2-4).</w:t>
      </w:r>
    </w:p>
    <w:p>
      <w:pPr>
        <w:pStyle w:val="FirstParagraph"/>
      </w:pPr>
      <w:r>
        <w:t xml:space="preserve">SLK also plays a significant role in apoptotic signaling. Its activation via caspase 3-dependent cleavage produces a catalytically active fragment that triggers apoptotic pathways and supports the disassembly of actin stress fibers, events that are associated with morphological changes typical of programmed cell death (sabourin2000caspase3cleavage pages 1-2, sabourin2000caspase3cleavage pages 9-11). Beyond its direct biochemical activities, SLK is expressed in a wide range of tissues, and evidence from genetic studies suggests that it is essential for embryonic development, as SLK knockout models exhibit severe developmental abnormalities, thereby underscoring its importance in organogenesis and tissue patterning (alzahrani2013ste20likekinaseslk pages 6-8). The interplay between the kinase activity of SLK and its regulatory influence on cytoskeletal and apoptotic processes positions it as a pivotal mediator in cellular signaling networks that govern both cell survival and programmed cell death (storbeck2004ste20‐likekinaseslk pages 10-11).</w:t>
      </w:r>
    </w:p>
    <w:p>
      <w:pPr>
        <w:numPr>
          <w:ilvl w:val="0"/>
          <w:numId w:val="1004"/>
        </w:numPr>
      </w:pPr>
      <w:r>
        <w:t xml:space="preserve">Other Comments</w:t>
      </w:r>
      <w:r>
        <w:br/>
      </w:r>
      <w:r>
        <w:t xml:space="preserve">Recent studies using chemical biology approaches have identified a series of 4-anilinoquin(az)oline derivatives that inhibit SLK with varying potency, highlighting its potential as a collateral kinase target in drug discovery efforts (asquith2020designandanalysis pages 1-3). In addition, evidence suggests that dysregulation of SLK activity is associated with pathological conditions such as tumor progression, metastasis, and renal tissue injury, although the exact clinical implications remain under active investigation (alzahrani2013ste20likekinaseslk pages 8-9, cybulsky2017regulationofste20like pages 23-24). As a key regulator of both apoptosis and cytoskeletal reorganization, aberrant SLK signaling may contribute to cancer cell migration and invasive behavior, and its coupling with caspase 3-mediated activation further implicates it in the execution of apoptotic cell death. Ongoing research into the structure–activity relationships and the molecular determinants of SLK regulation continues to inspire the development of specific inhibitors that could modulate its function in a therapeutic context (asquith2020designandanalysis pages 1-3). Moreover, the identification of conserved regulatory motifs and dimerization domains offers promising avenues for the design of small molecules that selectively target SLK, potentially offering novel strategies for the treatment of diseases characterized by impaired apoptosis and dysregulated cytoskeletal dynamics (anti2009nonspecificserinethreonineprotein pages 25-27).</w:t>
      </w:r>
    </w:p>
    <w:p>
      <w:pPr>
        <w:numPr>
          <w:ilvl w:val="0"/>
          <w:numId w:val="1004"/>
        </w:numPr>
      </w:pPr>
      <w:r>
        <w:t xml:space="preserve">References</w:t>
      </w:r>
      <w:r>
        <w:br/>
      </w:r>
    </w:p>
    <w:p>
      <w:pPr>
        <w:numPr>
          <w:ilvl w:val="0"/>
          <w:numId w:val="1004"/>
        </w:numPr>
      </w:pPr>
      <w:r>
        <w:t xml:space="preserve">alzahrani2013ste20likekinaseslk pages 1-2</w:t>
      </w:r>
      <w:r>
        <w:br/>
      </w:r>
    </w:p>
    <w:p>
      <w:pPr>
        <w:numPr>
          <w:ilvl w:val="0"/>
          <w:numId w:val="1004"/>
        </w:numPr>
      </w:pPr>
      <w:r>
        <w:t xml:space="preserve">alzahrani2013ste20likekinaseslk pages 4-5</w:t>
      </w:r>
      <w:r>
        <w:br/>
      </w:r>
    </w:p>
    <w:p>
      <w:pPr>
        <w:numPr>
          <w:ilvl w:val="0"/>
          <w:numId w:val="1004"/>
        </w:numPr>
      </w:pPr>
      <w:r>
        <w:t xml:space="preserve">alzahrani2013ste20likekinaseslk pages 6-8</w:t>
      </w:r>
      <w:r>
        <w:br/>
      </w:r>
    </w:p>
    <w:p>
      <w:pPr>
        <w:numPr>
          <w:ilvl w:val="0"/>
          <w:numId w:val="1004"/>
        </w:numPr>
      </w:pPr>
      <w:r>
        <w:t xml:space="preserve">cybulsky2017regulationofste20like pages 1-2</w:t>
      </w:r>
      <w:r>
        <w:br/>
      </w:r>
    </w:p>
    <w:p>
      <w:pPr>
        <w:numPr>
          <w:ilvl w:val="0"/>
          <w:numId w:val="1004"/>
        </w:numPr>
      </w:pPr>
      <w:r>
        <w:t xml:space="preserve">cybulsky2017regulationofste20like pages 5-7</w:t>
      </w:r>
      <w:r>
        <w:br/>
      </w:r>
    </w:p>
    <w:p>
      <w:pPr>
        <w:numPr>
          <w:ilvl w:val="0"/>
          <w:numId w:val="1004"/>
        </w:numPr>
      </w:pPr>
      <w:r>
        <w:t xml:space="preserve">cybulsky2017regulationofste20like pages 21-22</w:t>
      </w:r>
      <w:r>
        <w:br/>
      </w:r>
    </w:p>
    <w:p>
      <w:pPr>
        <w:numPr>
          <w:ilvl w:val="0"/>
          <w:numId w:val="1004"/>
        </w:numPr>
      </w:pPr>
      <w:r>
        <w:t xml:space="preserve">cybulsky2017regulationofste20like pages 22-23</w:t>
      </w:r>
      <w:r>
        <w:br/>
      </w:r>
    </w:p>
    <w:p>
      <w:pPr>
        <w:numPr>
          <w:ilvl w:val="0"/>
          <w:numId w:val="1004"/>
        </w:numPr>
      </w:pPr>
      <w:r>
        <w:t xml:space="preserve">cybulsky2017regulationofste20like pages 23-24</w:t>
      </w:r>
      <w:r>
        <w:br/>
      </w:r>
    </w:p>
    <w:p>
      <w:pPr>
        <w:numPr>
          <w:ilvl w:val="0"/>
          <w:numId w:val="1004"/>
        </w:numPr>
      </w:pPr>
      <w:r>
        <w:t xml:space="preserve">karpov2009bioinformaticsearchof pages 2-4</w:t>
      </w:r>
      <w:r>
        <w:br/>
      </w:r>
    </w:p>
    <w:p>
      <w:pPr>
        <w:numPr>
          <w:ilvl w:val="0"/>
          <w:numId w:val="1004"/>
        </w:numPr>
      </w:pPr>
      <w:r>
        <w:t xml:space="preserve">karpov2009bioinformaticssearchfor pages 4-5</w:t>
      </w:r>
      <w:r>
        <w:br/>
      </w:r>
    </w:p>
    <w:p>
      <w:pPr>
        <w:numPr>
          <w:ilvl w:val="0"/>
          <w:numId w:val="1004"/>
        </w:numPr>
      </w:pPr>
      <w:r>
        <w:t xml:space="preserve">karpov2009bioinformaticssearchfor pages 6-7</w:t>
      </w:r>
      <w:r>
        <w:br/>
      </w:r>
    </w:p>
    <w:p>
      <w:pPr>
        <w:numPr>
          <w:ilvl w:val="0"/>
          <w:numId w:val="1004"/>
        </w:numPr>
      </w:pPr>
      <w:r>
        <w:t xml:space="preserve">sabourin2000caspase3cleavage pages 1-2</w:t>
      </w:r>
      <w:r>
        <w:br/>
      </w:r>
    </w:p>
    <w:p>
      <w:pPr>
        <w:numPr>
          <w:ilvl w:val="0"/>
          <w:numId w:val="1004"/>
        </w:numPr>
      </w:pPr>
      <w:r>
        <w:t xml:space="preserve">sabourin2000caspase3cleavage pages 8-8</w:t>
      </w:r>
      <w:r>
        <w:br/>
      </w:r>
    </w:p>
    <w:p>
      <w:pPr>
        <w:numPr>
          <w:ilvl w:val="0"/>
          <w:numId w:val="1004"/>
        </w:numPr>
      </w:pPr>
      <w:r>
        <w:t xml:space="preserve">sabourin2000caspase3cleavage pages 9-11</w:t>
      </w:r>
      <w:r>
        <w:br/>
      </w:r>
    </w:p>
    <w:p>
      <w:pPr>
        <w:numPr>
          <w:ilvl w:val="0"/>
          <w:numId w:val="1004"/>
        </w:numPr>
      </w:pPr>
      <w:r>
        <w:t xml:space="preserve">storbeck2004ste20‐likekinaseslk pages 10-11</w:t>
      </w:r>
      <w:r>
        <w:br/>
      </w:r>
    </w:p>
    <w:p>
      <w:pPr>
        <w:numPr>
          <w:ilvl w:val="0"/>
          <w:numId w:val="1004"/>
        </w:numPr>
      </w:pPr>
      <w:r>
        <w:t xml:space="preserve">thiriet2013cytoplasmicproteinserinethreonine pages 1-4</w:t>
      </w:r>
      <w:r>
        <w:br/>
      </w:r>
    </w:p>
    <w:p>
      <w:pPr>
        <w:numPr>
          <w:ilvl w:val="0"/>
          <w:numId w:val="1004"/>
        </w:numPr>
      </w:pPr>
      <w:r>
        <w:t xml:space="preserve">thiriet2013cytoplasmicproteinserinethreonine pages 7-11</w:t>
      </w:r>
      <w:r>
        <w:br/>
      </w:r>
    </w:p>
    <w:p>
      <w:pPr>
        <w:numPr>
          <w:ilvl w:val="0"/>
          <w:numId w:val="1004"/>
        </w:numPr>
      </w:pPr>
      <w:r>
        <w:t xml:space="preserve">asquith2020designandanalysis pages 1-3</w:t>
      </w:r>
      <w:r>
        <w:br/>
      </w:r>
    </w:p>
    <w:p>
      <w:pPr>
        <w:numPr>
          <w:ilvl w:val="0"/>
          <w:numId w:val="1004"/>
        </w:numPr>
      </w:pPr>
      <w:r>
        <w:t xml:space="preserve">vaz2019enrichmentofatp pages 10-11</w:t>
      </w:r>
      <w:r>
        <w:br/>
      </w:r>
    </w:p>
    <w:p>
      <w:pPr>
        <w:numPr>
          <w:ilvl w:val="0"/>
          <w:numId w:val="1004"/>
        </w:numPr>
      </w:pPr>
      <w:r>
        <w:t xml:space="preserve">anti2009nonspecificserinethreonineprotein pages 25-27</w:t>
      </w:r>
    </w:p>
    <w:p>
      <w:pPr>
        <w:pStyle w:val="FirstParagraph"/>
      </w:pPr>
      <w:r>
        <w:t xml:space="preserve">References</w:t>
      </w:r>
    </w:p>
    <w:p>
      <w:pPr>
        <w:numPr>
          <w:ilvl w:val="0"/>
          <w:numId w:val="1005"/>
        </w:numPr>
      </w:pPr>
      <w:r>
        <w:t xml:space="preserve">(alzahrani2013ste20likekinaseslk pages 1-2): Khalid N. Al-Zahrani, Kyla D. Baron, and Luc A. Sabourin. Ste20-like kinase slk, at the crossroads. Cell Adhesion &amp; Migration, 7:1-10, Jan 2013. URL: https://doi.org/10.4161/cam.22495, doi:10.4161/cam.22495. This article has 52 citations.</w:t>
      </w:r>
    </w:p>
    <w:p>
      <w:pPr>
        <w:numPr>
          <w:ilvl w:val="0"/>
          <w:numId w:val="1005"/>
        </w:numPr>
      </w:pPr>
      <w:r>
        <w:t xml:space="preserve">(alzahrani2013ste20likekinaseslk pages 4-5): Khalid N. Al-Zahrani, Kyla D. Baron, and Luc A. Sabourin. Ste20-like kinase slk, at the crossroads. Cell Adhesion &amp; Migration, 7:1-10, Jan 2013. URL: https://doi.org/10.4161/cam.22495, doi:10.4161/cam.22495. This article has 52 citations.</w:t>
      </w:r>
    </w:p>
    <w:p>
      <w:pPr>
        <w:numPr>
          <w:ilvl w:val="0"/>
          <w:numId w:val="1005"/>
        </w:numPr>
      </w:pPr>
      <w:r>
        <w:t xml:space="preserve">(alzahrani2013ste20likekinaseslk pages 6-8): Khalid N. Al-Zahrani, Kyla D. Baron, and Luc A. Sabourin. Ste20-like kinase slk, at the crossroads. Cell Adhesion &amp; Migration, 7:1-10, Jan 2013. URL: https://doi.org/10.4161/cam.22495, doi:10.4161/cam.22495. This article has 52 citations.</w:t>
      </w:r>
    </w:p>
    <w:p>
      <w:pPr>
        <w:numPr>
          <w:ilvl w:val="0"/>
          <w:numId w:val="1005"/>
        </w:numPr>
      </w:pPr>
      <w:r>
        <w:t xml:space="preserve">(cybulsky2017regulationofste20like pages 1-2): A. Cybulsky, Julie Guillemette, J. Papillon, and Nihad T Abouelazm. Regulation of ste20-like kinase, slk, activity: dimerization and activation segment phosphorylation. PLoS ONE, May 2017. URL: https://doi.org/10.1371/journal.pone.0177226, doi:10.1371/journal.pone.0177226. This article has 26 citations and is from a peer-reviewed journal.</w:t>
      </w:r>
    </w:p>
    <w:p>
      <w:pPr>
        <w:numPr>
          <w:ilvl w:val="0"/>
          <w:numId w:val="1005"/>
        </w:numPr>
      </w:pPr>
      <w:r>
        <w:t xml:space="preserve">(cybulsky2017regulationofste20like pages 21-22): A. Cybulsky, Julie Guillemette, J. Papillon, and Nihad T Abouelazm. Regulation of ste20-like kinase, slk, activity: dimerization and activation segment phosphorylation. PLoS ONE, May 2017. URL: https://doi.org/10.1371/journal.pone.0177226, doi:10.1371/journal.pone.0177226. This article has 26 citations and is from a peer-reviewed journal.</w:t>
      </w:r>
    </w:p>
    <w:p>
      <w:pPr>
        <w:numPr>
          <w:ilvl w:val="0"/>
          <w:numId w:val="1005"/>
        </w:numPr>
      </w:pPr>
      <w:r>
        <w:t xml:space="preserve">(cybulsky2017regulationofste20like pages 22-23): A. Cybulsky, Julie Guillemette, J. Papillon, and Nihad T Abouelazm. Regulation of ste20-like kinase, slk, activity: dimerization and activation segment phosphorylation. PLoS ONE, May 2017. URL: https://doi.org/10.1371/journal.pone.0177226, doi:10.1371/journal.pone.0177226. This article has 26 citations and is from a peer-reviewed journal.</w:t>
      </w:r>
    </w:p>
    <w:p>
      <w:pPr>
        <w:numPr>
          <w:ilvl w:val="0"/>
          <w:numId w:val="1005"/>
        </w:numPr>
      </w:pPr>
      <w:r>
        <w:t xml:space="preserve">(cybulsky2017regulationofste20like pages 23-24): A. Cybulsky, Julie Guillemette, J. Papillon, and Nihad T Abouelazm. Regulation of ste20-like kinase, slk, activity: dimerization and activation segment phosphorylation. PLoS ONE, May 2017. URL: https://doi.org/10.1371/journal.pone.0177226, doi:10.1371/journal.pone.0177226. This article has 26 citations and is from a peer-reviewed journal.</w:t>
      </w:r>
    </w:p>
    <w:p>
      <w:pPr>
        <w:numPr>
          <w:ilvl w:val="0"/>
          <w:numId w:val="1005"/>
        </w:numPr>
      </w:pPr>
      <w:r>
        <w:t xml:space="preserve">(cybulsky2017regulationofste20like pages 5-7): A. Cybulsky, Julie Guillemette, J. Papillon, and Nihad T Abouelazm. Regulation of ste20-like kinase, slk, activity: dimerization and activation segment phosphorylation. PLoS ONE, May 2017. URL: https://doi.org/10.1371/journal.pone.0177226, doi:10.1371/journal.pone.0177226. This article has 26 citations and is from a peer-reviewed journal.</w:t>
      </w:r>
    </w:p>
    <w:p>
      <w:pPr>
        <w:numPr>
          <w:ilvl w:val="0"/>
          <w:numId w:val="1005"/>
        </w:numPr>
      </w:pPr>
      <w:r>
        <w:t xml:space="preserve">(alzahrani2013ste20likekinaseslk pages 2-4): Khalid N. Al-Zahrani, Kyla D. Baron, and Luc A. Sabourin. Ste20-like kinase slk, at the crossroads. Cell Adhesion &amp; Migration, 7:1-10, Jan 2013. URL: https://doi.org/10.4161/cam.22495, doi:10.4161/cam.22495. This article has 52 citations.</w:t>
      </w:r>
    </w:p>
    <w:p>
      <w:pPr>
        <w:numPr>
          <w:ilvl w:val="0"/>
          <w:numId w:val="1005"/>
        </w:numPr>
      </w:pPr>
      <w:r>
        <w:t xml:space="preserve">(alzahrani2013ste20likekinaseslk pages 8-9): Khalid N. Al-Zahrani, Kyla D. Baron, and Luc A. Sabourin. Ste20-like kinase slk, at the crossroads. Cell Adhesion &amp; Migration, 7:1-10, Jan 2013. URL: https://doi.org/10.4161/cam.22495, doi:10.4161/cam.22495. This article has 52 citations.</w:t>
      </w:r>
    </w:p>
    <w:p>
      <w:pPr>
        <w:numPr>
          <w:ilvl w:val="0"/>
          <w:numId w:val="1005"/>
        </w:numPr>
      </w:pPr>
      <w:r>
        <w:t xml:space="preserve">(karpov2009bioinformaticsearchof pages 2-4): P. A. Karpov, E. S. Nadezhdina, A. I. Emets, V. G. Matusov, A. Yu. Nyporko, N. Yu. Shashina, and Ya. B. Blume. Bioinformatic search of plant protein kinases involved in the phosphorylation of microtubular proteins and the regulation of the cell cycle. Cytology and Genetics, 43:201-215, Jun 2009. URL: https://doi.org/10.3103/s0095452709030104, doi:10.3103/s0095452709030104. This article has 6 citations and is from a peer-reviewed journal.</w:t>
      </w:r>
    </w:p>
    <w:p>
      <w:pPr>
        <w:numPr>
          <w:ilvl w:val="0"/>
          <w:numId w:val="1005"/>
        </w:numPr>
      </w:pPr>
      <w:r>
        <w:t xml:space="preserve">(karpov2009bioinformaticssearchfor pages 4-5): P. Karpov, A. Emets, V. G. Matusov, A. Nyporko, E. Nadezhdina, and Y. Blume. Bioinformatics search for plant homologues of ste20-like serine/threonine protein kinases. Cytology and Genetics, 43:419-428, Dec 2009. URL: https://doi.org/10.3103/s0095452709060097, doi:10.3103/s0095452709060097. This article has 6 citations and is from a peer-reviewed journal.</w:t>
      </w:r>
    </w:p>
    <w:p>
      <w:pPr>
        <w:numPr>
          <w:ilvl w:val="0"/>
          <w:numId w:val="1005"/>
        </w:numPr>
      </w:pPr>
      <w:r>
        <w:t xml:space="preserve">(karpov2009bioinformaticssearchfor pages 6-7): P. Karpov, A. Emets, V. G. Matusov, A. Nyporko, E. Nadezhdina, and Y. Blume. Bioinformatics search for plant homologues of ste20-like serine/threonine protein kinases. Cytology and Genetics, 43:419-428, Dec 2009. URL: https://doi.org/10.3103/s0095452709060097, doi:10.3103/s0095452709060097. This article has 6 citations and is from a peer-reviewed journal.</w:t>
      </w:r>
    </w:p>
    <w:p>
      <w:pPr>
        <w:numPr>
          <w:ilvl w:val="0"/>
          <w:numId w:val="1005"/>
        </w:numPr>
      </w:pPr>
      <w:r>
        <w:t xml:space="preserve">(sabourin2000caspase3cleavage pages 1-2): Luc A. Sabourin, Patrick Seale, Julian Wagner, and Michael A. Rudnicki. Caspase 3 cleavage of the ste20-related kinase slk releases and activates an apoptosis-inducing kinase domain and an actin-disassembling region. Molecular and Cellular Biology, 20:684-696, Jan 2000. URL: https://doi.org/10.1128/mcb.20.2.684-696.2000, doi:10.1128/mcb.20.2.684-696.2000. This article has 153 citations and is from a domain leading peer-reviewed journal.</w:t>
      </w:r>
    </w:p>
    <w:p>
      <w:pPr>
        <w:numPr>
          <w:ilvl w:val="0"/>
          <w:numId w:val="1005"/>
        </w:numPr>
      </w:pPr>
      <w:r>
        <w:t xml:space="preserve">(sabourin2000caspase3cleavage pages 8-8): Luc A. Sabourin, Patrick Seale, Julian Wagner, and Michael A. Rudnicki. Caspase 3 cleavage of the ste20-related kinase slk releases and activates an apoptosis-inducing kinase domain and an actin-disassembling region. Molecular and Cellular Biology, 20:684-696, Jan 2000. URL: https://doi.org/10.1128/mcb.20.2.684-696.2000, doi:10.1128/mcb.20.2.684-696.2000. This article has 153 citations and is from a domain leading peer-reviewed journal.</w:t>
      </w:r>
    </w:p>
    <w:p>
      <w:pPr>
        <w:numPr>
          <w:ilvl w:val="0"/>
          <w:numId w:val="1005"/>
        </w:numPr>
      </w:pPr>
      <w:r>
        <w:t xml:space="preserve">(sabourin2000caspase3cleavage pages 9-11): Luc A. Sabourin, Patrick Seale, Julian Wagner, and Michael A. Rudnicki. Caspase 3 cleavage of the ste20-related kinase slk releases and activates an apoptosis-inducing kinase domain and an actin-disassembling region. Molecular and Cellular Biology, 20:684-696, Jan 2000. URL: https://doi.org/10.1128/mcb.20.2.684-696.2000, doi:10.1128/mcb.20.2.684-696.2000. This article has 153 citations and is from a domain leading peer-reviewed journal.</w:t>
      </w:r>
    </w:p>
    <w:p>
      <w:pPr>
        <w:numPr>
          <w:ilvl w:val="0"/>
          <w:numId w:val="1005"/>
        </w:numPr>
      </w:pPr>
      <w:r>
        <w:t xml:space="preserve">(storbeck2004ste20‐likekinaseslk pages 10-11): Christopher J. Storbeck, Kate Daniel, Yi‐Hong Zhang, John Lunde, Anthony Scime, Atsushi Asakura, Bernard Jasmin, Robert G. Korneluk, and Luc A. Sabourin. Ste20‐like kinase slk displays myofiber type specificity and is involved in c2c12 myoblast differentiation. Muscle &amp; Nerve, Apr 2004. URL: https://doi.org/10.1002/mus.20000, doi:10.1002/mus.20000. This article has 31 citations.</w:t>
      </w:r>
    </w:p>
    <w:p>
      <w:pPr>
        <w:numPr>
          <w:ilvl w:val="0"/>
          <w:numId w:val="1005"/>
        </w:numPr>
      </w:pPr>
      <w:r>
        <w:t xml:space="preserve">(thiriet2013cytoplasmicproteinserinethreonine pages 1-4):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5"/>
        </w:numPr>
      </w:pPr>
      <w:r>
        <w:t xml:space="preserve">(thiriet2013cytoplasmicproteinserinethreonine pages 7-11):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5"/>
        </w:numPr>
      </w:pPr>
      <w:r>
        <w:t xml:space="preserve">(anti2009nonspecificserinethreonineprotein pages 25-27): B Anti. Non-specific serine/threonine protein kinase. Class 2 Transferases, pages 1-123, Jan 2009. URL: https://doi.org/10.1007/978-3-540-85699-3_1, doi:10.1007/978-3-540-85699-3_1. This article has 0 citations.</w:t>
      </w:r>
    </w:p>
    <w:p>
      <w:pPr>
        <w:numPr>
          <w:ilvl w:val="0"/>
          <w:numId w:val="1005"/>
        </w:numPr>
      </w:pPr>
      <w:r>
        <w:t xml:space="preserve">(asquith2020designandanalysis pages 1-3): Christopher R. M. Asquith, Tuomo Laitinen, James M. Bennett, Carrow I. Wells, Jonathan M. Elkins, William J. Zuercher, Graham J. Tizzard, and Antti Poso. Design and analysis of the 4‐anilinoquin(az)oline kinase inhibition profiles of gak/slk/stk10 using quantitative structure‐activity relationships. ChemMedChem, 15:26-49, Nov 2020. URL: https://doi.org/10.1002/cmdc.201900521, doi:10.1002/cmdc.201900521. This article has 24 citations and is from a peer-reviewed journal.</w:t>
      </w:r>
    </w:p>
    <w:p>
      <w:pPr>
        <w:numPr>
          <w:ilvl w:val="0"/>
          <w:numId w:val="1005"/>
        </w:numPr>
      </w:pPr>
      <w:r>
        <w:t xml:space="preserve">(vaz2019enrichmentofatp pages 10-11): Catarina Vaz, Jose Antonio Reales-Calderon, Aida Pitarch, Perceval Vellosillo, Marco Trevisan, María Luisa Hernáez, Lucía Monteoliva, and Concha Gil. Enrichment of atp binding proteins unveils proteomic alterations in human macrophage cell death, inflammatory response, and protein synthesis after interaction with</w:t>
      </w:r>
      <w:r>
        <w:t xml:space="preserve">candida albicans</w:t>
      </w:r>
      <w:r>
        <w:t xml:space="preserve">. Journal of Proteome Research, 18:2139-2159, Apr 2019. URL: https://doi.org/10.1021/acs.jproteome.9b00032, doi:10.1021/acs.jproteome.9b00032. This article has 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2025-06-18T18:52:25Z</dcterms:created>
  <dcterms:modified xsi:type="dcterms:W3CDTF">2025-06-18T18:52:25Z</dcterms:modified>
</cp:coreProperties>
</file>

<file path=docProps/custom.xml><?xml version="1.0" encoding="utf-8"?>
<Properties xmlns="http://schemas.openxmlformats.org/officeDocument/2006/custom-properties" xmlns:vt="http://schemas.openxmlformats.org/officeDocument/2006/docPropsVTypes"/>
</file>