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Tribbles homolog 3 (TRIB3), also known as TRB3 and SKIP3, is a member of the tribbles family of pseudokinases that are evolutionarily conserved across metazoans. The prototypical tribbles gene was first identified in Drosophila melanogaster, where it functions in regulating cell cycle progression and morphogenesis. In vertebrates, the tribbles family is represented by at least three homologs—TRIB1, TRIB2, and TRIB3—which, despite diverging in certain regulatory regions, retain a conserved pseudokinase domain. TRIB3, in particular, exhibits significant sequence similarity to these homologs, and the conservation of its overall kinase‐like fold suggests an origin from the same ancient kinase family that predates the divergence of insects and mammals. Its inclusion in the CAMK Ser/Thr kinase family is based on the overall structural architecture of its catalytic domain, although critical catalytic residues are absent or substituted. Thus, TRIB3 is classified not as an active enzyme but as a regulatory adaptor whose primary function is mediated by protein–protein interactions rather than enzymatic transfer of phosphate groups (Smith2011tribbles3a pages 1-2, Wennemers2012regulationoftrib3 pages 5-6). Comparative phylogenetic analyses indicate that the tribbles proteins constitute a distinct clade within the kinome, with TRIB3 sharing a common ancestral gene with other pseudokinases that are dedicated to modulating cellular stress and signaling responses.</w:t>
      </w:r>
    </w:p>
    <w:p>
      <w:pPr>
        <w:numPr>
          <w:ilvl w:val="0"/>
          <w:numId w:val="1001"/>
        </w:numPr>
      </w:pPr>
      <w:r>
        <w:t xml:space="preserve">Reaction Catalyzed</w:t>
      </w:r>
      <w:r>
        <w:br/>
      </w:r>
      <w:r>
        <w:t xml:space="preserve">Unlike canonical serine/threonine kinases, TRIB3 does not catalyze the typical ATP‐dependent phosphorylation reaction. In active kinases, the reaction would involve the transfer of a phosphate group from ATP to the hydroxyl group of a serine or threonine residue in a substrate protein, yielding ADP and a phosphorylated product. However, TRIB3 is a catalytically “dead” or inactive kinase because it lacks several essential residues in both the active site and the activation loop that are required for effective phosphate transfer. Consequently, no conventional reaction of the form “ATP + [protein] → ADP + [protein]-phosphate + H⁺” occurs for TRIB3. Instead, its biological role is executed via non‐enzymatic mechanisms that rely on its preserved kinase fold to mediate specific protein–protein interactions, thereby modulating downstream signaling pathways (Wennemers2012regulationoftrib3 pages 9-9).</w:t>
      </w:r>
    </w:p>
    <w:p>
      <w:pPr>
        <w:numPr>
          <w:ilvl w:val="0"/>
          <w:numId w:val="1001"/>
        </w:numPr>
      </w:pPr>
      <w:r>
        <w:t xml:space="preserve">Cofactor Requirements</w:t>
      </w:r>
      <w:r>
        <w:br/>
      </w:r>
      <w:r>
        <w:t xml:space="preserve">Because TRIB3 does not mediate ATP phosphorylation reactions due to its pseudokinase nature, it does not require the typical cofactors—such as Mg²⁺ or Mn²⁺—that are essential for the catalytic activity of active protein kinases. In conventional kinases, divalent metal ions are required to coordinate ATP binding and facilitate the transfer of the phosphate group; however, in TRIB3, the absence of catalytic activity obviates the need for such cofactors. Thus, no metal ion cofactor is necessary for TRIB3’s function as a regulatory scaffold, and its role in signaling is independent of any cofactor‐dependent catalytic process (Wennemers2012regulationoftrib3 pages 8-9).</w:t>
      </w:r>
    </w:p>
    <w:p>
      <w:pPr>
        <w:numPr>
          <w:ilvl w:val="0"/>
          <w:numId w:val="1001"/>
        </w:numPr>
      </w:pPr>
      <w:r>
        <w:t xml:space="preserve">Substrate Specificity</w:t>
      </w:r>
      <w:r>
        <w:br/>
      </w:r>
      <w:r>
        <w:t xml:space="preserve">Although TRIB3 lacks enzymatic activity, it displays a defined substrate specificity in terms of its binding interactions with regulatory proteins. Rather than transferring phosphate groups, TRIB3 exerts its function by interacting with distinct protein partners that play critical roles in stress response and inflammation. One well‐documented interaction is with the transcription factor ATF4; TRIB3 acts in a negative feedback loop whereby its expression is induced by ATF4 under stress conditions, and the accumulated TRIB3 protein then binds to and inhibits ATF4’s transcriptional activity. In addition, TRIB3 has been shown to interact with the p65 subunit of NF‑κB, where it interferes with p65 phosphorylation and thus modulates NF‑κB–dependent gene transcription. Although there is evidence (from related literature) of an interaction with Akt kinases—where TRIB3 may block the phosphorylation of Akt by masking critical residues—this substrate “binding” behavior does not lead to enzymatic modification but, instead, serves to modulate the activity of these signaling proteins. The substrate specificity of TRIB3 is therefore defined not by a consensus phosphorylation motif, as seen in active kinases, but rather by the presence of binding interfaces within its pseudokinase fold that are optimized for the recognition of regulatory proteins such as ATF4 and NF‑κB p65 (Smith2011tribbles3a pages 7-8, Wennemers2012regulationoftrib3 pages 5-6).</w:t>
      </w:r>
    </w:p>
    <w:p>
      <w:pPr>
        <w:numPr>
          <w:ilvl w:val="0"/>
          <w:numId w:val="1001"/>
        </w:numPr>
      </w:pPr>
      <w:r>
        <w:t xml:space="preserve">Structure</w:t>
      </w:r>
      <w:r>
        <w:br/>
      </w:r>
      <w:r>
        <w:t xml:space="preserve">TRIB3 is a protein comprising 358 amino acids with a predicted molecular weight of approximately 65.8 kDa. Structurally, TRIB3 retains a central fold that is characteristic of serine/threonine kinases, including the bilobal architecture with an N-terminal lobe that typically contains a glycine-rich loop and a C-terminal lobe that is important for substrate binding. Despite this conserved kinase-like fold, TRIB3 is categorized as a pseudokinase because it lacks several highly conserved amino acids critical for catalytic activity. In active kinases, residues within motifs such as the DFG (Asp-Phe-Gly) motif and the catalytic loop are indispensable for ATP coordination and phosphoryl transfer; however, in TRIB3 these motifs are altered such that the protein cannot bind ATP in the canonical manner nor catalyze the phosphorylation reaction. Moreover, structural predictions using computational models (e.g., AlphaFold) have suggested that although TRIB3 maintains the global architecture of a kinase domain, its activation loop, conserved hydrophobic spine elements, and C-helix are arranged in a conformation that precludes enzymatic activity. The C-terminal region of TRIB3 is thought to contribute to its role as a regulatory scaffold by mediating interactions with binding partners such as ATF4 and NF‑κB p65. Collectively, the conserved but degenerate features of the TRIB3 pseudokinase domain illustrate how evolutionary pressure has maintained a kinase-like structure for regulatory purposes even in the absence of catalytic function (Wennemers2012regulationoftrib3 pages 5-6, Smith2011tribbles3a pages 1-2).</w:t>
      </w:r>
    </w:p>
    <w:p>
      <w:pPr>
        <w:numPr>
          <w:ilvl w:val="0"/>
          <w:numId w:val="1001"/>
        </w:numPr>
      </w:pPr>
      <w:r>
        <w:t xml:space="preserve">Regulation</w:t>
      </w:r>
      <w:r>
        <w:br/>
      </w:r>
      <w:r>
        <w:t xml:space="preserve">The regulation of TRIB3 expression and activity occurs predominantly through transcriptional and post-transcriptional mechanisms rather than by modulation of catalytic activity. Under conditions of endoplasmic reticulum (ER) stress, TRIB3 is robustly upregulated as part of the integrated stress response (ISR). In breast cancer cells, for example, TRIB3 expression is induced via the PERK/ATF4/CHOP signaling axis, wherein the stress‐responsive transcription factors ATF4 and CHOP promote TRIB3 transcription. Once expressed, TRIB3 protein exerts negative feedback on ATF4 activity, thereby attenuating the transcription of stress-responsive genes. In addition to its role in ER stress, TRIB3 regulation is implicated in the innate immune response. In gastric epithelial cells challenged by Helicobacter pylori lipopolysaccharide (LPS), TRIB3 expression is significantly downregulated; this downregulation correlates with enhanced Toll-like receptor 2 (TLR2)-mediated activation of the NF‑κB pathway and increased chemokine production. Such findings underscore the dual regulatory role of TRIB3: while its induction during ER stress serves to moderate the ISR via negative feedback, its decreased expression under bacterial challenge appears to relieve a repressive constraint on inflammatory signaling. Moreover, experiments employing siRNA-mediated knockdown of TRIB3 in breast cancer models have shown that mRNA levels can be effectively reduced, yet the TRIB3 protein remains remarkably stable, suggesting substantial post-translational regulation that ensures the persistence of its regulatory function under stress conditions (Wennemers2012regulationoftrib3 pages 3-5, 5-6; Smith2011tribbles3a pages 1-2, 7-8).</w:t>
      </w:r>
    </w:p>
    <w:p>
      <w:pPr>
        <w:numPr>
          <w:ilvl w:val="0"/>
          <w:numId w:val="1001"/>
        </w:numPr>
      </w:pPr>
      <w:r>
        <w:t xml:space="preserve">Function</w:t>
      </w:r>
      <w:r>
        <w:br/>
      </w:r>
      <w:r>
        <w:t xml:space="preserve">TRIB3 functions primarily as a regulatory adaptor within cellular signaling networks, rather than as an enzyme catalyzing ATP-dependent reactions. Its central role in the integrated stress response is mediated by its ability to inhibit the transcriptional activity of ATF4, a key effector activated during ER stress. By binding to ATF4, TRIB3 operates in a negative feedback loop that limits the magnitude and duration of the stress response, thus playing a decisive role in determining cell fate under conditions of prolonged stress. In parallel, TRIB3 is known to interact with the NF‑κB p65 subunit in immune cells, where it inhibits p65 phosphorylation and thereby modulates the transcription of pro-inflammatory genes. In the context of Helicobacter pylori infection, studies in gastric epithelial cells have demonstrated that lower levels of TRIB3 are associated with augmented Toll-like receptor 2 (TLR2)-mediated NF‑κB activation, resulting in increased production of chemokines and other inflammatory mediators. This indicates that TRIB3 acts as a brake on inflammatory signaling pathways, which may be critical for maintaining tissue homeostasis in the face of bacterial assault. Although TRIB3 is structurally related to active kinases, its primary biological function is not the phosphorylation of substrates but rather the modulation of protein interactions that govern cell survival, apoptosis, and inflammatory responses. The dual role of TRIB3 in both stress adaptation and innate immunity highlights its importance as a signaling regulator in diverse cellular contexts (Wennemers2012regulationoftrib3 pages 5-6, Smith2011tribbles3a pages 1-2, 7-8).</w:t>
      </w:r>
    </w:p>
    <w:p>
      <w:pPr>
        <w:numPr>
          <w:ilvl w:val="0"/>
          <w:numId w:val="1001"/>
        </w:numPr>
      </w:pPr>
      <w:r>
        <w:t xml:space="preserve">Other Comments</w:t>
      </w:r>
      <w:r>
        <w:br/>
      </w:r>
      <w:r>
        <w:t xml:space="preserve">In addition to its central roles in the integrated stress response and immune modulation, TRIB3 has attracted attention as a potential therapeutic target due to its involvement in disease processes. For instance, altered TRIB3 expression has been observed in breast cancer, where discrepancies between mRNA and protein levels have been associated with clinical outcomes. Moreover, in the context of Helicobacter pylori infection, the repression of TRIB3 in gastric epithelial cells appears to facilitate an exacerbated inflammatory response via TLR2-mediated signaling. Although no specific small molecule inhibitors targeting TRIB3 have been comprehensively characterized in the peer-reviewed literature cited herein, the protein’s unique regulatory mechanisms and its stable protein expression profile suggest that future drug discovery efforts may focus on disrupting its protein–protein interactions. As a pseudokinase, TRIB3 represents a noncanonical node in signaling networks whose modulation could have far-reaching implications for diseases related to ER stress, inflammation, and cancer (Smith2011tribbles3a pages 1-2, Wennemers2012regulationoftrib3 pages 5-6).</w:t>
      </w:r>
    </w:p>
    <w:p>
      <w:pPr>
        <w:numPr>
          <w:ilvl w:val="0"/>
          <w:numId w:val="1001"/>
        </w:numPr>
      </w:pPr>
      <w:r>
        <w:t xml:space="preserve">References</w:t>
      </w:r>
      <w:r>
        <w:br/>
      </w:r>
      <w:r>
        <w:t xml:space="preserve">[1] S. Smith, A. Moran, S. Duggan, S. E. Ahmed, A. S. Mohamed, H. Windle, L. O’Neill, and D. Kelleher, “Tribbles 3: a novel regulator of TLR2‐mediated signaling in response to Helicobacter pylori lipopolysaccharide,” The Journal of Immunology, vol. 186, pp. 2462–2471, Feb. 2011 (Smith2011tribbles3a pages 1-2, 7-8).</w:t>
      </w:r>
      <w:r>
        <w:br/>
      </w:r>
      <w:r>
        <w:t xml:space="preserve">[2] M. Wennemers, J. Bussink, T. van den Beucken, F. Sweep, and P. Span, “Regulation of TRIB3 mRNA and protein in breast cancer,” PLoS ONE, Nov. 2012, doi:10.1371/journal.pone.0049439 (Wennemers2012regulationoftrib3 pages 3-5, 5-6, 8-9).</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2025-06-18T18:52:18Z</dcterms:created>
  <dcterms:modified xsi:type="dcterms:W3CDTF">2025-06-18T18:52:18Z</dcterms:modified>
</cp:coreProperties>
</file>

<file path=docProps/custom.xml><?xml version="1.0" encoding="utf-8"?>
<Properties xmlns="http://schemas.openxmlformats.org/officeDocument/2006/custom-properties" xmlns:vt="http://schemas.openxmlformats.org/officeDocument/2006/docPropsVTypes"/>
</file>