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TSSK1B (also known as TSSK1, SPOGA1, SPOGA4, STK22A, or STK22D) is the functional human orthologue of the mouse Tssk1 gene and belongs to the testis‐specific serine/threonine kinase subfamily within the calcium/calmodulin‐dependent protein kinase (CAMK) group. Comparative genomic analyses indicate that TSSK1B arose during mammalian evolution—likely via a retrotransposition event that generated a functional duplicate replacing the pseudogenic TSSK1A in higher primates—and it clusters together with related paralogs such as TSSK2, TSSK3, TSSK4, and TSSK6 that share a conserved serine/threonine kinase catalytic domain. Sequence comparisons have demonstrated that TSSK1B displays a high degree of conservation among mammalian species, with minimal divergence relative to TSSK2, underscoring the evolutionary pressure to maintain its testis‐specific function in spermiogenesis (nayyab2025identificationoftssk1 pages 18-19, salicioni2020testisspecificserinekinase pages 30-31).</w:t>
      </w:r>
    </w:p>
    <w:p>
      <w:pPr>
        <w:numPr>
          <w:ilvl w:val="0"/>
          <w:numId w:val="1001"/>
        </w:numPr>
      </w:pPr>
      <w:r>
        <w:t xml:space="preserve">Reaction Catalyzed</w:t>
      </w:r>
      <w:r>
        <w:br/>
      </w:r>
      <w:r>
        <w:t xml:space="preserve">TSSK1B catalyzes the transfer of a phosphate moiety from ATP to the hydroxyl group of a serine residue within its substrate protein. Specifically, it phosphorylates Ser-288 of the testis-specific kinase substrate (TSKS), thereby converting ATP and the unmodified TSKS substrate into ADP and the phosphorylated form of TSKS [protein-(L-serine)-phosphate] with the concomitant release of H⁺ (nayyab2025identificationoftssk1 pages 21-22).</w:t>
      </w:r>
    </w:p>
    <w:p>
      <w:pPr>
        <w:numPr>
          <w:ilvl w:val="0"/>
          <w:numId w:val="1001"/>
        </w:numPr>
      </w:pPr>
      <w:r>
        <w:t xml:space="preserve">Cofactor Requirements</w:t>
      </w:r>
      <w:r>
        <w:br/>
      </w:r>
      <w:r>
        <w:t xml:space="preserve">Like other serine/threonine kinases, the catalytic activity of TSSK1B depends on the presence of divalent metal ions, most commonly Mg²⁺, which is required to coordinate ATP binding and facilitate phosphate transfer during the phosphorylation reaction (jenardhanan2014kinasesastargets pages 3-4, salicioni2020testisspecificserinekinase pages 22-23).</w:t>
      </w:r>
    </w:p>
    <w:p>
      <w:pPr>
        <w:numPr>
          <w:ilvl w:val="0"/>
          <w:numId w:val="1001"/>
        </w:numPr>
      </w:pPr>
      <w:r>
        <w:t xml:space="preserve">Substrate Specificity</w:t>
      </w:r>
      <w:r>
        <w:br/>
      </w:r>
      <w:r>
        <w:t xml:space="preserve">TSSK1B exhibits substrate specificity for proteins involved in the late stages of spermatid development. Its most well‐characterized substrate is TSKS, where TSSK1B phosphorylates the serine residue at position 288. In vitro studies employing peptide substrates such as the AMARA peptide have been used to define the enzymatic activity of related TSSK family members; these assays imply that TSSK1B may recognize motifs in a similar context, though direct determination of a consensus motif for TSSK1B remains to be fully elucidated. The phosphorylation event on TSKS is central to establishing a signaling cascade that governs the cytoplasmic remodeling during spermiogenesis (nayyab2025identificationoftssk1 pages 21-22, salicioni2020testisspecificserinekinase pages 14-15).</w:t>
      </w:r>
    </w:p>
    <w:p>
      <w:pPr>
        <w:numPr>
          <w:ilvl w:val="0"/>
          <w:numId w:val="1001"/>
        </w:numPr>
      </w:pPr>
      <w:r>
        <w:t xml:space="preserve">Structure</w:t>
      </w:r>
      <w:r>
        <w:br/>
      </w:r>
      <w:r>
        <w:t xml:space="preserve">TSSK1B is characterized by a central serine/threonine kinase domain that is conserved across the TSSK family. This catalytic domain adopts the typical bilobed architecture observed in eukaryotic protein kinases: an N-terminal lobe rich in β-strands that contributes to the formation of the ATP-binding pocket, and a larger C-terminal lobe predominantly composed of α-helices that provides the substrate-binding surface. Key catalytic features include a conserved lysine residue (e.g., Lys27) crucial for ATP anchorage and a T-loop region whose autophosphorylation is essential for full activation of kinase activity. AlphaFold models and in vitro biochemical characterizations suggest that TSSK1B also possesses regulatory regions—likely intrinsically disordered segments—that modulate its activity in a testis-specific manner, although high-resolution structural data for TSSK1B remain to be reported. The overall organization is consistent with other CAMK family members, with an ATP-binding pocket that, due to the presence of a specific “gate-keeper” residue, may be amenable to structure-based inhibitor design (jenardhanan2014kinasesastargets pages 3-4, salicioni2020testisspecificserinekinase pages 31-32).</w:t>
      </w:r>
    </w:p>
    <w:p>
      <w:pPr>
        <w:numPr>
          <w:ilvl w:val="0"/>
          <w:numId w:val="1001"/>
        </w:numPr>
      </w:pPr>
      <w:r>
        <w:t xml:space="preserve">Regulation</w:t>
      </w:r>
      <w:r>
        <w:br/>
      </w:r>
      <w:r>
        <w:t xml:space="preserve">TSSK1B is regulated through autophosphorylation of its activation loop, a mechanism shared by several members of the TSSK family. This intrinsic phosphorylation at a conserved T-loop threonine residue is sufficient for its activation, eliminating the necessity for an upstream activating kinase. Additionally, regulation of TSSK1B appears to be tightly coupled to its testis-restricted expression; transcriptional control and post-translational modifications ensure that kinase activity is induced specifically during the late stages of spermatogenesis. Although direct evidence of regulatory interactions with molecular chaperones such as HSP90 has been described for related TSSK family members (e.g., TSSK6), TSSK1B is reported to be less affected by such chaperone-mediated regulation, with its activation being primarily dependent upon its autophosphorylation capacity. Recent structural analyses highlight a gate-keeper residue within the ATP-binding pocket, modifications of which have been proposed as a strategy to engineer inhibitor-sensitive alleles for target validation studies in vivo (salicioni2020testisspecificserinekinase pages 21-21, salicioni2020testisspecificserinekinase pages 16-17).</w:t>
      </w:r>
    </w:p>
    <w:p>
      <w:pPr>
        <w:numPr>
          <w:ilvl w:val="0"/>
          <w:numId w:val="1001"/>
        </w:numPr>
      </w:pPr>
      <w:r>
        <w:t xml:space="preserve">Function</w:t>
      </w:r>
      <w:r>
        <w:br/>
      </w:r>
      <w:r>
        <w:t xml:space="preserve">TSSK1B is expressed exclusively in the testes and plays a pivotal role in spermiogenesis, the final phase of sperm development. Its activity is essential for the proper phosphorylation of TSKS, a substrate integral to the remodeling of the cytoplasm during spermatid differentiation. In particular, TSSK1B-mediated phosphorylation of TSKS at Ser-288 is required during the reconstruction of the cytoplasmic architecture, including the transformation of a ring-shaped structure that originates from the chromatoid body and encircles the base of the developing flagellum. This modification is critical for coordinating cytoplasmic reorganization and the formation of sperm-specific structures, thereby ensuring normal sperm morphology and motility. Expression studies indicate that TSSK1B is predominantly active in postmeiotic spermatids, and its functional integrity is necessary to maintain male fertility. The highly specific expression pattern and substrate interactions of TSSK1B underscore its role within the network of kinases that orchestrate spermatid maturation (nayyab2025identificationoftssk1 pages 18-19, jenardhanan2014kinasesastargets pages 3-4, salicioni2020testisspecificserinekinase pages 1-1).</w:t>
      </w:r>
    </w:p>
    <w:p>
      <w:pPr>
        <w:numPr>
          <w:ilvl w:val="0"/>
          <w:numId w:val="1001"/>
        </w:numPr>
      </w:pPr>
      <w:r>
        <w:t xml:space="preserve">Other Comments</w:t>
      </w:r>
      <w:r>
        <w:br/>
      </w:r>
      <w:r>
        <w:t xml:space="preserve">Small-molecule inhibitor discovery efforts targeting the TSSK family have identified series of compounds with pyrrolopyrimidine and pyrimidine cores that exhibit nanomolar inhibitory activity against TSSK isoforms, with some studies reporting highest potency against TSSK1 and TSSK2. Although these inhibitors have been primarily developed against TSSK2, the high sequence homology and structural similarity suggest potential cross-inhibition of TSSK1B. Additionally, TSSK family members have attracted interest as targets for non-hormonal male contraceptive strategies due to their restricted testis-specific expression and indispensable role in spermatogenesis. Beyond their roles in fertility, some TSSK kinases have been detected in human cancer cell lines, implicating them in oncogenic processes; however, detailed disease associations specific to TSSK1B remain to be fully defined (salicioni2020testisspecificserinekinase pages 25-26, salicioni2020testisspecificserinekinase pages 22-23, nozawa2023testis‐specificserinekinase pages 1-3).</w:t>
      </w:r>
    </w:p>
    <w:p>
      <w:pPr>
        <w:numPr>
          <w:ilvl w:val="0"/>
          <w:numId w:val="1001"/>
        </w:numPr>
      </w:pPr>
      <w:r>
        <w:t xml:space="preserve">References</w:t>
      </w:r>
      <w:r>
        <w:br/>
      </w:r>
    </w:p>
    <w:p>
      <w:pPr>
        <w:numPr>
          <w:ilvl w:val="0"/>
          <w:numId w:val="1001"/>
        </w:numPr>
      </w:pPr>
      <w:r>
        <w:t xml:space="preserve">nayyab2025identificationoftssk1 pages 18-19</w:t>
      </w:r>
      <w:r>
        <w:br/>
      </w:r>
    </w:p>
    <w:p>
      <w:pPr>
        <w:numPr>
          <w:ilvl w:val="0"/>
          <w:numId w:val="1001"/>
        </w:numPr>
      </w:pPr>
      <w:r>
        <w:t xml:space="preserve">nayyab2025identificationoftssk1 pages 21-22</w:t>
      </w:r>
      <w:r>
        <w:br/>
      </w:r>
    </w:p>
    <w:p>
      <w:pPr>
        <w:numPr>
          <w:ilvl w:val="0"/>
          <w:numId w:val="1001"/>
        </w:numPr>
      </w:pPr>
      <w:r>
        <w:t xml:space="preserve">jenardhanan2014kinasesastargets pages 3-4</w:t>
      </w:r>
      <w:r>
        <w:br/>
      </w:r>
    </w:p>
    <w:p>
      <w:pPr>
        <w:numPr>
          <w:ilvl w:val="0"/>
          <w:numId w:val="1001"/>
        </w:numPr>
      </w:pPr>
      <w:r>
        <w:t xml:space="preserve">salicioni2020testisspecificserinekinase pages 14-15</w:t>
      </w:r>
      <w:r>
        <w:br/>
      </w:r>
    </w:p>
    <w:p>
      <w:pPr>
        <w:numPr>
          <w:ilvl w:val="0"/>
          <w:numId w:val="1001"/>
        </w:numPr>
      </w:pPr>
      <w:r>
        <w:t xml:space="preserve">salicioni2020testisspecificserinekinase pages 16-17</w:t>
      </w:r>
      <w:r>
        <w:br/>
      </w:r>
    </w:p>
    <w:p>
      <w:pPr>
        <w:numPr>
          <w:ilvl w:val="0"/>
          <w:numId w:val="1001"/>
        </w:numPr>
      </w:pPr>
      <w:r>
        <w:t xml:space="preserve">salicioni2020testisspecificserinekinase pages 21-21</w:t>
      </w:r>
      <w:r>
        <w:br/>
      </w:r>
    </w:p>
    <w:p>
      <w:pPr>
        <w:numPr>
          <w:ilvl w:val="0"/>
          <w:numId w:val="1001"/>
        </w:numPr>
      </w:pPr>
      <w:r>
        <w:t xml:space="preserve">salicioni2020testisspecificserinekinase pages 22-23</w:t>
      </w:r>
      <w:r>
        <w:br/>
      </w:r>
    </w:p>
    <w:p>
      <w:pPr>
        <w:numPr>
          <w:ilvl w:val="0"/>
          <w:numId w:val="1001"/>
        </w:numPr>
      </w:pPr>
      <w:r>
        <w:t xml:space="preserve">salicioni2020testisspecificserinekinase pages 25-26</w:t>
      </w:r>
      <w:r>
        <w:br/>
      </w:r>
    </w:p>
    <w:p>
      <w:pPr>
        <w:numPr>
          <w:ilvl w:val="0"/>
          <w:numId w:val="1001"/>
        </w:numPr>
      </w:pPr>
      <w:r>
        <w:t xml:space="preserve">salicioni2020testisspecificserinekinase pages 30-31</w:t>
      </w:r>
      <w:r>
        <w:br/>
      </w:r>
    </w:p>
    <w:p>
      <w:pPr>
        <w:numPr>
          <w:ilvl w:val="0"/>
          <w:numId w:val="1001"/>
        </w:numPr>
      </w:pPr>
      <w:r>
        <w:t xml:space="preserve">salicioni2020testisspecificserinekinase pages 31-32</w:t>
      </w:r>
      <w:r>
        <w:br/>
      </w:r>
    </w:p>
    <w:p>
      <w:pPr>
        <w:numPr>
          <w:ilvl w:val="0"/>
          <w:numId w:val="1001"/>
        </w:numPr>
      </w:pPr>
      <w:r>
        <w:t xml:space="preserve">nozawa2023testis‐specificserinekinase pages 1-3</w:t>
      </w:r>
      <w:r>
        <w:br/>
      </w:r>
    </w:p>
    <w:p>
      <w:pPr>
        <w:numPr>
          <w:ilvl w:val="0"/>
          <w:numId w:val="1001"/>
        </w:numPr>
      </w:pPr>
      <w:r>
        <w:t xml:space="preserve">nozawa2023testis‐specificserinekinase pages 8-10</w:t>
      </w:r>
    </w:p>
    <w:p>
      <w:pPr>
        <w:pStyle w:val="FirstParagraph"/>
      </w:pPr>
      <w:r>
        <w:t xml:space="preserve">References</w:t>
      </w:r>
    </w:p>
    <w:p>
      <w:pPr>
        <w:numPr>
          <w:ilvl w:val="0"/>
          <w:numId w:val="1002"/>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2"/>
        </w:numPr>
      </w:pPr>
      <w:r>
        <w:t xml:space="preserve">(nayyab2025identificationoftssk1 pages 21-22):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2"/>
        </w:numPr>
      </w:pPr>
      <w:r>
        <w:t xml:space="preserve">(jenardhanan2014kinasesastargets pages 3-4): Pranitha Jenardhanan and Premendu P Mathur. Kinases as targets for chemical modulators: structural aspects and their role in spermatogenesis. Spermatogenesis, 4:e979113, Mar 2014. URL: https://doi.org/10.4161/21565562.2014.979113, doi:10.4161/21565562.2014.979113. This article has 18 citations and is from a peer-reviewed journal.</w:t>
      </w:r>
    </w:p>
    <w:p>
      <w:pPr>
        <w:numPr>
          <w:ilvl w:val="0"/>
          <w:numId w:val="1002"/>
        </w:numPr>
      </w:pPr>
      <w:r>
        <w:t xml:space="preserve">(salicioni2020testisspecificserinekinase pages 1-1):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30-31):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31-32):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8-10):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21-21):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22-23):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25-26):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