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Testis‑specific serine/threonine‑protein kinase 4 (TSSK4), also known as STK22E or C14orf20, is a member of the testis‑specific serine/threonine kinase (TSSK) family that is expressed almost exclusively in male germ cells. (nozawa2023testis‐specificserinekinase pages 13-14)</w:t>
      </w:r>
      <w:r>
        <w:br/>
      </w:r>
      <w:r>
        <w:t xml:space="preserve">Phylogenetic studies indicate that the TSSK family is evolutionarily conserved across mammals and other vertebrates, with orthologs identifiable in both mouse and human genomes. (brassard2011phylogeneticepigeneticand pages 14-22)</w:t>
      </w:r>
      <w:r>
        <w:br/>
      </w:r>
      <w:r>
        <w:t xml:space="preserve">TSSK4 belongs to the calcium/calmodulin‑dependent protein kinase (CaMK) superfamily and shares a conserved catalytic domain with related kinases in this group. (shang2014testisspecificproteinkinases pages 35-38)</w:t>
      </w:r>
      <w:r>
        <w:br/>
      </w:r>
      <w:r>
        <w:t xml:space="preserve">Evolutionary diversification within the TSSK family has been driven by gene duplication, alternative splicing, and retrotransposition events, with TSSK4 representing one conserved lineage that has maintained its testis‑restricted expression. (salicioni2020testisspecificserinekinase pages 12-13)</w:t>
      </w:r>
      <w:r>
        <w:br/>
      </w:r>
      <w:r>
        <w:t xml:space="preserve">Overall, the presence of TSSK4 orthologs in both human and mouse highlights its conserved role in male reproductive processes and reinforces its classification within this specialized kinase family. (brassard2011phylogeneticepigeneticand pages 74-76)</w:t>
      </w:r>
    </w:p>
    <w:p>
      <w:pPr>
        <w:numPr>
          <w:ilvl w:val="0"/>
          <w:numId w:val="1001"/>
        </w:numPr>
      </w:pPr>
      <w:r>
        <w:t xml:space="preserve">Reaction Catalyzed</w:t>
      </w:r>
      <w:r>
        <w:br/>
      </w:r>
      <w:r>
        <w:t xml:space="preserve">TSSK4 catalyzes the transfer of a phosphate group from ATP to specific serine or threonine residues on substrate proteins. (salicioni2020testisspecificserinekinase pages 14-14)</w:t>
      </w:r>
      <w:r>
        <w:br/>
      </w:r>
      <w:r>
        <w:t xml:space="preserve">The chemical reaction can be generalized as: ATP + [protein]–(L‑serine or L‑threonine) → ADP + [protein]–(L‑serine/threonine‑phosphate) + H⁺, which is typical of serine/threonine kinases. (jenardhanan2014kinasesastargets pages 3-4)</w:t>
      </w:r>
    </w:p>
    <w:p>
      <w:pPr>
        <w:numPr>
          <w:ilvl w:val="0"/>
          <w:numId w:val="1001"/>
        </w:numPr>
      </w:pPr>
      <w:r>
        <w:t xml:space="preserve">Cofactor Requirements</w:t>
      </w:r>
      <w:r>
        <w:br/>
      </w:r>
      <w:r>
        <w:t xml:space="preserve">The catalytic activity of TSSK4 is dependent on the presence of divalent metal ions that serve as cofactors. (salicioni2020testisspecificserinekinase pages 15-16)</w:t>
      </w:r>
      <w:r>
        <w:br/>
      </w:r>
      <w:r>
        <w:t xml:space="preserve">While many serine/threonine kinases typically require Mg²⁺, some evidence suggests that TSSK4 may function optimally in the presence of Mn²⁺, although Mg²⁺ may also support its catalytic activity under certain conditions. (kadiyska2022roleoftestis‑specific pages 1-2)</w:t>
      </w:r>
    </w:p>
    <w:p>
      <w:pPr>
        <w:numPr>
          <w:ilvl w:val="0"/>
          <w:numId w:val="1001"/>
        </w:numPr>
      </w:pPr>
      <w:r>
        <w:t xml:space="preserve">Substrate Specificity</w:t>
      </w:r>
      <w:r>
        <w:br/>
      </w:r>
      <w:r>
        <w:t xml:space="preserve">TSSK4 exhibits substrate specificity for serine/threonine residues within proteins that are critical for spermatogenesis and sperm function. (salicioni2020testisspecificserinekinase pages 38-39)</w:t>
      </w:r>
      <w:r>
        <w:br/>
      </w:r>
      <w:r>
        <w:t xml:space="preserve">In vitro studies have demonstrated that TSSK4 phosphorylates the transcription factor CREB1 on serine‑133, an event that can stimulate the CRE/CREB signaling pathway. (salicioni2020testisspecificserinekinase pages 14-14)</w:t>
      </w:r>
      <w:r>
        <w:br/>
      </w:r>
      <w:r>
        <w:t xml:space="preserve">Furthermore, TSSK4 is reported to phosphorylate CREM on serine‑116 and outer dense fiber protein 2 (ODF2) on serine‑95, thereby participating in the regulation of transcription and maintenance of the structural integrity of the sperm flagellum. (nayyab2025identificationoftssk1 pages 21-22)</w:t>
      </w:r>
    </w:p>
    <w:p>
      <w:pPr>
        <w:numPr>
          <w:ilvl w:val="0"/>
          <w:numId w:val="1001"/>
        </w:numPr>
      </w:pPr>
      <w:r>
        <w:t xml:space="preserve">Structure</w:t>
      </w:r>
      <w:r>
        <w:br/>
      </w:r>
      <w:r>
        <w:t xml:space="preserve">TSSK4 contains a highly conserved catalytic kinase domain that is characteristic of serine/threonine kinases and forms the core of its structural organization. (brassard2011phylogeneticepigeneticand pages 9-14)</w:t>
      </w:r>
      <w:r>
        <w:br/>
      </w:r>
      <w:r>
        <w:t xml:space="preserve">This catalytic domain includes the typical ATP‑binding pocket, a catalytic loop, and an activation segment (T‑loop) that is necessary for its full activation, often through autophosphorylation. (salicioni2020testisspecificserinekinase pages 31-31)</w:t>
      </w:r>
      <w:r>
        <w:br/>
      </w:r>
      <w:r>
        <w:t xml:space="preserve">Alternative splicing generates a limited set of TSSK4 isoforms that appear to be specific to testicular germ cells, and this isoform diversity may be linked to subtle variations in regulatory or substrate‑binding regions. (salicioni2020testisspecificserinekinase pages 12-12)</w:t>
      </w:r>
      <w:r>
        <w:br/>
      </w:r>
      <w:r>
        <w:t xml:space="preserve">Structural predictions, including those derived from AlphaFold models and comparative homology, indicate that the overall three‑dimensional organization of TSSK4 is compact with conserved secondary structure elements such as the C‑helix and hydrophobic spines, which are hallmarks of an active kinase. (salicioni2020testisspecificserinekinase pages 37-37)</w:t>
      </w:r>
      <w:r>
        <w:br/>
      </w:r>
      <w:r>
        <w:t xml:space="preserve">Moreover, there are unique sequence extensions at the N‑ and C‑termini that, although not fully characterized structurally, are thought to contribute to substrate recognition and possibly mediate interactions with regulatory proteins. (shang2014testisspecificproteinkinases pages 77-81)</w:t>
      </w:r>
    </w:p>
    <w:p>
      <w:pPr>
        <w:numPr>
          <w:ilvl w:val="0"/>
          <w:numId w:val="1001"/>
        </w:numPr>
      </w:pPr>
      <w:r>
        <w:t xml:space="preserve">Regulation</w:t>
      </w:r>
      <w:r>
        <w:br/>
      </w:r>
      <w:r>
        <w:t xml:space="preserve">TSSK4 is subject to regulation by autophosphorylation, particularly at residues within its activation loop, which is a critical step for achieving its full catalytic activity. (salicioni2020testisspecificserinekinase pages 16-16)</w:t>
      </w:r>
      <w:r>
        <w:br/>
      </w:r>
      <w:r>
        <w:t xml:space="preserve">In addition to autophosphorylation, TSSK4 interacts with molecular chaperones such as HSP90, which assist in maintaining its proper conformation and stability during the dynamic process of spermatogenesis. (jha2013heatshockprotein pages 2-3)</w:t>
      </w:r>
      <w:r>
        <w:br/>
      </w:r>
      <w:r>
        <w:t xml:space="preserve">Post‑translational modifications, including multiple phosphorylation events, have been documented for TSSK family members; these modifications affect kinase activity and substrate affinity and are likely to be essential for the fine‑tuning of TSSK4 function in germ cells. (salicioni2020testisspecificserinekinase pages 16-17)</w:t>
      </w:r>
      <w:r>
        <w:br/>
      </w:r>
      <w:r>
        <w:t xml:space="preserve">Alternative splicing further contributes to the regulatory complexity of TSSK4 by generating isoforms with potentially distinct regulatory regions and subcellular localizations within developing spermatids and mature spermatozoa. (salicioni2020testisspecificserinekinase pages 12-13)</w:t>
      </w:r>
    </w:p>
    <w:p>
      <w:pPr>
        <w:numPr>
          <w:ilvl w:val="0"/>
          <w:numId w:val="1001"/>
        </w:numPr>
      </w:pPr>
      <w:r>
        <w:t xml:space="preserve">Function</w:t>
      </w:r>
      <w:r>
        <w:br/>
      </w:r>
      <w:r>
        <w:t xml:space="preserve">TSSK4 plays an essential role in male germ cell development, with its expression being highly restricted to the testis and predominantly observed in post‑meiotic spermatids. (nozawa2023testis‐specificserinekinase pages 1-3)</w:t>
      </w:r>
      <w:r>
        <w:br/>
      </w:r>
      <w:r>
        <w:t xml:space="preserve">It is involved in key processes of sperm morphogenesis, including acrosome formation, chromatin condensation, and the assembly of the flagellum, thereby contributing to overall sperm structural integrity. (salicioni2020testisspecificserinekinase pages 13-14)</w:t>
      </w:r>
      <w:r>
        <w:br/>
      </w:r>
      <w:r>
        <w:t xml:space="preserve">By phosphorylating substrates such as CREB1, CREM, and ODF2, TSSK4 influences both transcriptional regulatory pathways and the structural organization required for proper sperm motility and function. (salicioni2020testisspecificserinekinase pages 38-39)</w:t>
      </w:r>
      <w:r>
        <w:br/>
      </w:r>
      <w:r>
        <w:t xml:space="preserve">The testis‑specific expression and functional significance of TSSK4 in germ cell maturation have made it a promising target for the development of non‑hormonal male contraceptive strategies. (kadiyska2022roleoftestis‑specific pages 1-2)</w:t>
      </w:r>
      <w:r>
        <w:br/>
      </w:r>
      <w:r>
        <w:t xml:space="preserve">Mouse knockout studies of related TSSK family members have demonstrated that loss or disruption of these kinases leads to defective spermatogenesis and impaired sperm function, thus underscoring the pivotal role of TSSK4 in male fertility. (salicioni2020testisspecificserinekinase pages 20-21)</w:t>
      </w:r>
    </w:p>
    <w:p>
      <w:pPr>
        <w:numPr>
          <w:ilvl w:val="0"/>
          <w:numId w:val="1001"/>
        </w:numPr>
      </w:pPr>
      <w:r>
        <w:t xml:space="preserve">Other Comments</w:t>
      </w:r>
      <w:r>
        <w:br/>
      </w:r>
      <w:r>
        <w:t xml:space="preserve">Mutations in the TSSK4 gene or aberrant alternative splicing events have been associated with human cases of male infertility, including conditions such as azoospermia and oligospermia. (salicioni2020testisspecificserinekinase pages 21-22)</w:t>
      </w:r>
      <w:r>
        <w:br/>
      </w:r>
      <w:r>
        <w:t xml:space="preserve">Because TSSK4 is expressed exclusively in the testis, it represents an attractive target for the development of non‑hormonal contraceptives that could specifically modulate sperm function without affecting systemic hormonal balance. (salicioni2020testisspecificserinekinase pages 24-25)</w:t>
      </w:r>
      <w:r>
        <w:br/>
      </w:r>
      <w:r>
        <w:t xml:space="preserve">Preliminary small‑molecule screening efforts have been directed toward identifying inhibitors that selectively modulate TSSK4 kinase activity, although no clinically approved inhibitors have yet been developed. (nayyab2025identificationoftssk1 pages 18-19)</w:t>
      </w:r>
      <w:r>
        <w:br/>
      </w:r>
      <w:r>
        <w:t xml:space="preserve">Studies highlighting the interaction of TSSK4 with regulatory proteins such as HSP90 also suggest that approaches aimed at disrupting protein–chaperone interactions might serve as alternative strategies to modulate its activity for therapeutic intervention. (jha2013heatshockprotein pages 1-2)</w:t>
      </w:r>
    </w:p>
    <w:p>
      <w:pPr>
        <w:numPr>
          <w:ilvl w:val="0"/>
          <w:numId w:val="1001"/>
        </w:numPr>
      </w:pPr>
      <w:r>
        <w:t xml:space="preserve">References</w:t>
      </w:r>
      <w:r>
        <w:br/>
      </w:r>
    </w:p>
    <w:p>
      <w:pPr>
        <w:numPr>
          <w:ilvl w:val="0"/>
          <w:numId w:val="1001"/>
        </w:numPr>
      </w:pPr>
      <w:r>
        <w:t xml:space="preserve">nozawa2023testis‐specificserinekinase pages 13-14</w:t>
      </w:r>
      <w:r>
        <w:br/>
      </w:r>
    </w:p>
    <w:p>
      <w:pPr>
        <w:numPr>
          <w:ilvl w:val="0"/>
          <w:numId w:val="1001"/>
        </w:numPr>
      </w:pPr>
      <w:r>
        <w:t xml:space="preserve">brassard2011phylogeneticepigeneticand pages 14-22</w:t>
      </w:r>
      <w:r>
        <w:br/>
      </w:r>
    </w:p>
    <w:p>
      <w:pPr>
        <w:numPr>
          <w:ilvl w:val="0"/>
          <w:numId w:val="1001"/>
        </w:numPr>
      </w:pPr>
      <w:r>
        <w:t xml:space="preserve">brassard2011phylogeneticepigeneticand pages 74-76</w:t>
      </w:r>
      <w:r>
        <w:br/>
      </w:r>
    </w:p>
    <w:p>
      <w:pPr>
        <w:numPr>
          <w:ilvl w:val="0"/>
          <w:numId w:val="1001"/>
        </w:numPr>
      </w:pPr>
      <w:r>
        <w:t xml:space="preserve">shang2014testisspecificproteinkinases pages 35-38</w:t>
      </w:r>
      <w:r>
        <w:br/>
      </w:r>
    </w:p>
    <w:p>
      <w:pPr>
        <w:numPr>
          <w:ilvl w:val="0"/>
          <w:numId w:val="1001"/>
        </w:numPr>
      </w:pPr>
      <w:r>
        <w:t xml:space="preserve">salicioni2020testisspecificserinekinase pages 12-13</w:t>
      </w:r>
      <w:r>
        <w:br/>
      </w:r>
    </w:p>
    <w:p>
      <w:pPr>
        <w:numPr>
          <w:ilvl w:val="0"/>
          <w:numId w:val="1001"/>
        </w:numPr>
      </w:pPr>
      <w:r>
        <w:t xml:space="preserve">jenardhanan2014kinasesastargets pages 3-4</w:t>
      </w:r>
      <w:r>
        <w:br/>
      </w:r>
    </w:p>
    <w:p>
      <w:pPr>
        <w:numPr>
          <w:ilvl w:val="0"/>
          <w:numId w:val="1001"/>
        </w:numPr>
      </w:pPr>
      <w:r>
        <w:t xml:space="preserve">salicioni2020testisspecificserinekinase pages 14-14</w:t>
      </w:r>
      <w:r>
        <w:br/>
      </w:r>
    </w:p>
    <w:p>
      <w:pPr>
        <w:numPr>
          <w:ilvl w:val="0"/>
          <w:numId w:val="1001"/>
        </w:numPr>
      </w:pPr>
      <w:r>
        <w:t xml:space="preserve">salicioni2020testisspecificserinekinase pages 38-39</w:t>
      </w:r>
      <w:r>
        <w:br/>
      </w:r>
    </w:p>
    <w:p>
      <w:pPr>
        <w:numPr>
          <w:ilvl w:val="0"/>
          <w:numId w:val="1001"/>
        </w:numPr>
      </w:pPr>
      <w:r>
        <w:t xml:space="preserve">nayyab2025identificationoftssk1 pages 21-22</w:t>
      </w:r>
      <w:r>
        <w:br/>
      </w:r>
    </w:p>
    <w:p>
      <w:pPr>
        <w:numPr>
          <w:ilvl w:val="0"/>
          <w:numId w:val="1001"/>
        </w:numPr>
      </w:pPr>
      <w:r>
        <w:t xml:space="preserve">salicioni2020testisspecificserinekinase pages 15-16</w:t>
      </w:r>
      <w:r>
        <w:br/>
      </w:r>
    </w:p>
    <w:p>
      <w:pPr>
        <w:numPr>
          <w:ilvl w:val="0"/>
          <w:numId w:val="1001"/>
        </w:numPr>
      </w:pPr>
      <w:r>
        <w:t xml:space="preserve">kadiyska2022roleoftestis‑specific pages 1-2</w:t>
      </w:r>
      <w:r>
        <w:br/>
      </w:r>
    </w:p>
    <w:p>
      <w:pPr>
        <w:numPr>
          <w:ilvl w:val="0"/>
          <w:numId w:val="1001"/>
        </w:numPr>
      </w:pPr>
      <w:r>
        <w:t xml:space="preserve">brassard2011phylogeneticepigeneticand pages 9-14</w:t>
      </w:r>
      <w:r>
        <w:br/>
      </w:r>
    </w:p>
    <w:p>
      <w:pPr>
        <w:numPr>
          <w:ilvl w:val="0"/>
          <w:numId w:val="1001"/>
        </w:numPr>
      </w:pPr>
      <w:r>
        <w:t xml:space="preserve">salicioni2020testisspecificserinekinase pages 31-31</w:t>
      </w:r>
      <w:r>
        <w:br/>
      </w:r>
    </w:p>
    <w:p>
      <w:pPr>
        <w:numPr>
          <w:ilvl w:val="0"/>
          <w:numId w:val="1001"/>
        </w:numPr>
      </w:pPr>
      <w:r>
        <w:t xml:space="preserve">salicioni2020testisspecificserinekinase pages 37-37</w:t>
      </w:r>
      <w:r>
        <w:br/>
      </w:r>
    </w:p>
    <w:p>
      <w:pPr>
        <w:numPr>
          <w:ilvl w:val="0"/>
          <w:numId w:val="1001"/>
        </w:numPr>
      </w:pPr>
      <w:r>
        <w:t xml:space="preserve">shang2014testisspecificproteinkinases pages 77-81</w:t>
      </w:r>
      <w:r>
        <w:br/>
      </w:r>
    </w:p>
    <w:p>
      <w:pPr>
        <w:numPr>
          <w:ilvl w:val="0"/>
          <w:numId w:val="1001"/>
        </w:numPr>
      </w:pPr>
      <w:r>
        <w:t xml:space="preserve">salicioni2020testisspecificserinekinase pages 16-16</w:t>
      </w:r>
      <w:r>
        <w:br/>
      </w:r>
    </w:p>
    <w:p>
      <w:pPr>
        <w:numPr>
          <w:ilvl w:val="0"/>
          <w:numId w:val="1001"/>
        </w:numPr>
      </w:pPr>
      <w:r>
        <w:t xml:space="preserve">salicioni2020testisspecificserinekinase pages 16-17</w:t>
      </w:r>
      <w:r>
        <w:br/>
      </w:r>
    </w:p>
    <w:p>
      <w:pPr>
        <w:numPr>
          <w:ilvl w:val="0"/>
          <w:numId w:val="1001"/>
        </w:numPr>
      </w:pPr>
      <w:r>
        <w:t xml:space="preserve">nozawa2023testis‐specificserinekinase pages 1-3</w:t>
      </w:r>
      <w:r>
        <w:br/>
      </w:r>
    </w:p>
    <w:p>
      <w:pPr>
        <w:numPr>
          <w:ilvl w:val="0"/>
          <w:numId w:val="1001"/>
        </w:numPr>
      </w:pPr>
      <w:r>
        <w:t xml:space="preserve">salicioni2020testisspecificserinekinase pages 13-14</w:t>
      </w:r>
      <w:r>
        <w:br/>
      </w:r>
    </w:p>
    <w:p>
      <w:pPr>
        <w:numPr>
          <w:ilvl w:val="0"/>
          <w:numId w:val="1001"/>
        </w:numPr>
      </w:pPr>
      <w:r>
        <w:t xml:space="preserve">salicioni2020testisspecificserinekinase pages 20-21</w:t>
      </w:r>
      <w:r>
        <w:br/>
      </w:r>
    </w:p>
    <w:p>
      <w:pPr>
        <w:numPr>
          <w:ilvl w:val="0"/>
          <w:numId w:val="1001"/>
        </w:numPr>
      </w:pPr>
      <w:r>
        <w:t xml:space="preserve">salicioni2020testisspecificserinekinase pages 21-22</w:t>
      </w:r>
      <w:r>
        <w:br/>
      </w:r>
    </w:p>
    <w:p>
      <w:pPr>
        <w:numPr>
          <w:ilvl w:val="0"/>
          <w:numId w:val="1001"/>
        </w:numPr>
      </w:pPr>
      <w:r>
        <w:t xml:space="preserve">salicioni2020testisspecificserinekinase pages 24-25</w:t>
      </w:r>
      <w:r>
        <w:br/>
      </w:r>
    </w:p>
    <w:p>
      <w:pPr>
        <w:numPr>
          <w:ilvl w:val="0"/>
          <w:numId w:val="1001"/>
        </w:numPr>
      </w:pPr>
      <w:r>
        <w:t xml:space="preserve">nayyab2025identificationoftssk1 pages 18-19</w:t>
      </w:r>
      <w:r>
        <w:br/>
      </w:r>
    </w:p>
    <w:p>
      <w:pPr>
        <w:numPr>
          <w:ilvl w:val="0"/>
          <w:numId w:val="1001"/>
        </w:numPr>
      </w:pPr>
      <w:r>
        <w:t xml:space="preserve">jha2013heatshockprotein pages 2-3</w:t>
      </w:r>
      <w:r>
        <w:br/>
      </w:r>
    </w:p>
    <w:p>
      <w:pPr>
        <w:numPr>
          <w:ilvl w:val="0"/>
          <w:numId w:val="1001"/>
        </w:numPr>
      </w:pPr>
      <w:r>
        <w:t xml:space="preserve">jha2013heatshockprotein pages 1-2</w:t>
      </w:r>
    </w:p>
    <w:p>
      <w:pPr>
        <w:pStyle w:val="FirstParagraph"/>
      </w:pPr>
      <w:r>
        <w:t xml:space="preserve">References</w:t>
      </w:r>
    </w:p>
    <w:p>
      <w:pPr>
        <w:numPr>
          <w:ilvl w:val="0"/>
          <w:numId w:val="1002"/>
        </w:numPr>
      </w:pPr>
      <w:r>
        <w:t xml:space="preserve">(nozawa2023testis‐specificserinekinase pages 13-14):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(brassard2011phylogeneticepigeneticand pages 14-22): LM Brassard. Phylogenetic, epigenetic, and biochemical analysis of testis-specific serine kinases. Unknown journal, 2011.</w:t>
      </w:r>
    </w:p>
    <w:p>
      <w:pPr>
        <w:numPr>
          <w:ilvl w:val="0"/>
          <w:numId w:val="1002"/>
        </w:numPr>
      </w:pPr>
      <w:r>
        <w:t xml:space="preserve">(brassard2011phylogeneticepigeneticand pages 74-76): LM Brassard. Phylogenetic, epigenetic, and biochemical analysis of testis-specific serine kinases. Unknown journal, 2011.</w:t>
      </w:r>
    </w:p>
    <w:p>
      <w:pPr>
        <w:numPr>
          <w:ilvl w:val="0"/>
          <w:numId w:val="1002"/>
        </w:numPr>
      </w:pPr>
      <w:r>
        <w:t xml:space="preserve">(brassard2011phylogeneticepigeneticand pages 9-14): LM Brassard. Phylogenetic, epigenetic, and biochemical analysis of testis-specific serine kinases. Unknown journal, 2011.</w:t>
      </w:r>
    </w:p>
    <w:p>
      <w:pPr>
        <w:numPr>
          <w:ilvl w:val="0"/>
          <w:numId w:val="1002"/>
        </w:numPr>
      </w:pPr>
      <w:r>
        <w:t xml:space="preserve">(kadiyska2022roleoftestis‑specific pages 1-2): Tanya Kadiyska, Ivan Tourtourikov, Kristiyan Dabchev, Dilyana Madzharova, Savina Tincheva, Demetrios Spandidos, and Vassilis Zoumpourlis. Role of testis‑specific serine kinase 1b in undiagnosed male infertility. Molecular Medicine Reports, Apr 2022. URL: https://doi.org/10.3892/mmr.2022.12720, doi:10.3892/mmr.2022.12720. This article has 5 citations and is from a peer-reviewed journal.</w:t>
      </w:r>
    </w:p>
    <w:p>
      <w:pPr>
        <w:numPr>
          <w:ilvl w:val="0"/>
          <w:numId w:val="1002"/>
        </w:numPr>
      </w:pPr>
      <w:r>
        <w:t xml:space="preserve">(nayyab2025identificationoftssk1 pages 21-22):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2"/>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31-31):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37-37):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38-39):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(shang2014testisspecificproteinkinases pages 35-38): P Shang. Testis-specific protein kinases tssk1 and tssk2 in mouse spermiogenesis. Unknown journal, 2014.</w:t>
      </w:r>
    </w:p>
    <w:p>
      <w:pPr>
        <w:numPr>
          <w:ilvl w:val="0"/>
          <w:numId w:val="1002"/>
        </w:numPr>
      </w:pPr>
      <w:r>
        <w:t xml:space="preserve">(jenardhanan2014kinasesastargets pages 3-4): Pranitha Jenardhanan and Premendu P Mathur. Kinases as targets for chemical modulators: structural aspects and their role in spermatogenesis. Spermatogenesis, 4:e979113, Mar 2014. URL: https://doi.org/10.4161/21565562.2014.979113, doi:10.4161/21565562.2014.979113. This article has 18 citations and is from a peer-reviewed journal.</w:t>
      </w:r>
    </w:p>
    <w:p>
      <w:pPr>
        <w:numPr>
          <w:ilvl w:val="0"/>
          <w:numId w:val="1002"/>
        </w:numPr>
      </w:pPr>
      <w:r>
        <w:t xml:space="preserve">(jha2013heatshockprotein pages 1-2): Kula N. Jha, Alyssa R. Coleman, Lily Wong, Ana M. Salicioni, Elizabeth Howcroft, and Gibbes R. Johnson. Heat shock protein 90 functions to stabilize and activate the testis-specific serine/threonine kinases, a family of kinases essential for male fertility. Journal of Biological Chemistry, 288:16308-16320, Jun 2013. URL: https://doi.org/10.1074/jbc.m112.400978, doi:10.1074/jbc.m112.400978. This article has 50 citations and is from a domain leading peer-reviewed journal.</w:t>
      </w:r>
    </w:p>
    <w:p>
      <w:pPr>
        <w:numPr>
          <w:ilvl w:val="0"/>
          <w:numId w:val="1002"/>
        </w:numPr>
      </w:pPr>
      <w:r>
        <w:t xml:space="preserve">(jha2013heatshockprotein pages 2-3): Kula N. Jha, Alyssa R. Coleman, Lily Wong, Ana M. Salicioni, Elizabeth Howcroft, and Gibbes R. Johnson. Heat shock protein 90 functions to stabilize and activate the testis-specific serine/threonine kinases, a family of kinases essential for male fertility. Journal of Biological Chemistry, 288:16308-16320, Jun 2013. URL: https://doi.org/10.1074/jbc.m112.400978, doi:10.1074/jbc.m112.400978. This article has 50 citations and is from a domain leading peer-reviewed journal.</w:t>
      </w:r>
    </w:p>
    <w:p>
      <w:pPr>
        <w:numPr>
          <w:ilvl w:val="0"/>
          <w:numId w:val="1002"/>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12-12):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12-13):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13-14):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16-16):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24-25):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20-21):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21-22):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(shang2014testisspecificproteinkinases pages 77-81): P Shang. Testis-specific protein kinases tssk1 and tssk2 in mouse spermiogenesis. Unknown journal, 2014.</w:t>
      </w:r>
    </w:p>
    <w:p>
      <w:pPr>
        <w:numPr>
          <w:ilvl w:val="0"/>
          <w:numId w:val="1002"/>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