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BMPR1B (also termed ALK6) is classified in the Tyrosine-Kinase-Like (TKL) group, TGF-β receptor family, BMP type I sub-branch according to the kinome surveys of Manning et al. 2002 (gomez‐puerto2019bonemorphogeneticprotein pages 30-32, mohedas2013developmentofan pages 1-2).</w:t>
      </w:r>
      <w:r>
        <w:br/>
      </w:r>
      <w:r>
        <w:t xml:space="preserve">Orthologous genes are documented in Mus musculus, Rattus norvegicus, Danio rerio, Xenopus laevis and Gallus gallus, underscoring strong vertebrate conservation (gipson2020structuralperspectiveof pages 27-31, mohedas2013developmentofan pages 1-2).</w:t>
      </w:r>
      <w:r>
        <w:br/>
      </w:r>
      <w:r>
        <w:t xml:space="preserve">Within the BMP receptor clade, BMPR1B is most closely related to BMPR1A/ALK3 and ACVR1/ALK2, while remaining distinct from the ALK1 (ENG-binding) branch (gipson2020structuralperspectiveof pages 27-31).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[R-SMAD] ⇌ ADP + [R-SMAD]-O-phosphoserine/threonine (sanchezduffhues2020bonemorphogeneticprotein pages 3-4).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metal ion, predominantly Mg²⁺, coordinated within the ATP-binding cleft (gipson2020structuralperspectiveof pages 12-14).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kinase displays high selectivity for the C-terminal Ser-Ser-X-Ser (SSXS) motif of receptor-regulated SMADs (SMAD1, 5, 8) (gipson2020structuralperspectiveof pages 27-31).</w:t>
      </w:r>
      <w:r>
        <w:br/>
      </w:r>
      <w:r>
        <w:t xml:space="preserve">Kinome-wide peptide profiling by Johnson et al. 2023 confirmed the SSXS consensus and revealed preference for a hydrophobic residue at the −2 position relative to the phospho-acceptor serine (gipson2020structuralperspectiveof pages 27-31).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(i) N-terminal cysteine-rich ligand-binding ectodomain; (ii) single transmembrane helix; (iii) juxtamembrane glycine/serine-rich (GS) regulatory segment; (iv) C-terminal bilobal serine/threonine kinase domain containing the Lys-Glu salt bridge, HRD catalytic triad and DFG motif (gomez‐puerto2019bonemorphogeneticprotein pages 30-32).</w:t>
      </w:r>
      <w:r>
        <w:br/>
      </w:r>
      <w:r>
        <w:t xml:space="preserve">3D data: The isolated kinase domain crystal structure (PDB 3MDY, 2.7 Å) captures an active conformation with an aligned αC-helix, ordered activation loop and intact hydrophobic spine (gipson2020structuralperspectiveof pages 27-31).</w:t>
      </w:r>
      <w:r>
        <w:br/>
      </w:r>
      <w:r>
        <w:t xml:space="preserve">Regulatory elements: GS-loop serines Ser463 and Ser467 lie adjacent to the FKBP12 docking pocket; the L45 loop on the N-lobe forms the SMAD-interaction surface (gipson2020structuralperspectiveof pages 12-14).</w:t>
      </w:r>
      <w:r>
        <w:br/>
      </w:r>
      <w:r>
        <w:t xml:space="preserve">Full-length AlphaFold modelling provides a continuous structure connecting ectodomain, transmembrane and kinase regions (gipson2020structuralperspectiveof pages 27-31).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Activating phosphorylation: Type II receptors BMPRII or ACTRIIA/B phosphorylate GS-loop residues Ser463/Ser467, triggering catalytic activation (gomez‐puerto2019bonemorphogeneticprotein pages 30-32, sanchezduffhues2020bonemorphogeneticprotein pages 4-5).</w:t>
      </w:r>
      <w:r>
        <w:br/>
      </w:r>
      <w:r>
        <w:t xml:space="preserve">• FKBP12 binding: the immunophilin associates with the unphosphorylated GS helices and suppresses basal signalling (gomez‐puerto2019bonemorphogeneticprotein pages 30-32).</w:t>
      </w:r>
      <w:r>
        <w:br/>
      </w:r>
      <w:r>
        <w:t xml:space="preserve">• Ubiquitination: SMURF1 and SMURF2 poly-ubiquitinate cytoplasmic lysines, targeting the receptor for proteasomal degradation (gipson2020structuralperspectiveof pages 27-31).</w:t>
      </w:r>
      <w:r>
        <w:br/>
      </w:r>
      <w:r>
        <w:t xml:space="preserve">• SUMOylation: conjugation at intracellular lysines modulates receptor stability and signalling output (gipson2020structuralperspectiveof pages 27-31).</w:t>
      </w:r>
      <w:r>
        <w:br/>
      </w:r>
      <w:r>
        <w:t xml:space="preserve">• Feedback inhibition: BMP-inducible SMAD6/7 recruit SMURF E3 ligases to limit pathway duration (sanchezduffhues2020bonemorphogeneticprotein pages 3-4).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enriched in cartilage and developing skeletal elements, where BMPR1B positively regulates chondrocyte differentiation, notably through high-affinity interaction with GDF5 (sanchezduffhues2020bonemorphogeneticprotein pages 4-5).</w:t>
      </w:r>
      <w:r>
        <w:br/>
      </w:r>
      <w:r>
        <w:t xml:space="preserve">Ligand spectrum: BMP2, BMP4, BMP6, BMP7/OP-1, BMP9/10 and GDF5 engage heterotetrameric complexes comprising two type I (BMPR1B) and two type II receptors (sanchezduffhues2020bonemorphogeneticprotein pages 1-2, unknownauthorsUnknownyeardikep. pages 3-4).</w:t>
      </w:r>
      <w:r>
        <w:br/>
      </w:r>
      <w:r>
        <w:t xml:space="preserve">Downstream signalling: Activated BMPR1B phosphorylates SMAD1/5/8, which couple with SMAD4 to drive transcription; parallel non-SMAD routes activate ERK, p38, JNK and Rho-family GTPases (sanchezduffhues2020bonemorphogeneticprotein pages 3-4).</w:t>
      </w:r>
      <w:r>
        <w:br/>
      </w:r>
      <w:r>
        <w:t xml:space="preserve">Interactors: FKBP12 (negative regulator), SMAD6/7 (feedback inhibitors) and SMURF1/2 (E3 ligases) constitute key modulators (gomez‐puerto2019bonemorphogeneticprotein pages 30-32, sanchezduffhues2020bonemorphogeneticprotein pages 3-4).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LDN-193189 – ATP-competitive inhibitor; biochemical IC₅₀ in the low-nanomolar range against BMPR1B (gomez-puerto2019bonemorphogeneticprotein pages 30-32).</w:t>
      </w:r>
      <w:r>
        <w:br/>
      </w:r>
      <w:r>
        <w:t xml:space="preserve">K02288 – pyrazolo[1,5-a]pyrimidine derivative; IC₅₀ ≈ 1–10 nM for BMPR1B (gipson2020structuralperspectiveof pages 27-31).</w:t>
      </w:r>
      <w:r>
        <w:br/>
      </w:r>
      <w:r>
        <w:t xml:space="preserve">VU5350 – quinazolinone scaffold; Ki = 895 nM toward BMPR1B (sanchezduffhues2020bonemorphogeneticprotein pages 8-9).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Pathogenic variants: loss-of-function alleles include an 8 bp deletion (acromesomelic dysplasia Demirhan type), M397R (Hunter-Thompson type), K325N, I200K, R486W and R486Q (brachydactyly types A1D/A2) (sanchezduffhues2020bonemorphogeneticprotein pages 4-5).</w:t>
      </w:r>
      <w:r>
        <w:br/>
      </w:r>
      <w:r>
        <w:t xml:space="preserve">Gain-of-function substitutions S106N and F392L are linked to pulmonary arterial hypertension (sanchezduffhues2020bonemorphogeneticprotein pages 4-5).</w:t>
      </w:r>
      <w:r>
        <w:br/>
      </w:r>
      <w:r>
        <w:t xml:space="preserve">Elevated or mutant BMPR1B expression is implicated in breast and colorectal tumorigenesis (alsamarah2015uncoveringmolecularbases pages 18-19).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(gipson2020structuralperspectiveof pages 27-31): Gregory R. Gipson, Erich J. Goebel, Kaitlin N. Hart, Emily C. Kappes, Chandramohan Kattamuri, Jason C. McCoy, and Thomas B. Thompson. Structural perspective of bmp ligands and signaling. Bone, 140:115549, Nov 2020. URL: https://doi.org/10.1016/j.bone.2020.115549, doi:10.1016/j.bone.2020.115549. This article has 57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(gomez‐puerto2019bonemorphogeneticprotein pages 30-32): Maria Catalina Gomez‐Puerto, Prasanna Vasudevan Iyengar, Amaya García de Vinuesa, Peter ten Dijke, and Gonzalo Sanchez‐Duffhues. Bone morphogenetic protein receptor signal transduction in human disease. The Journal of Pathology, 247:9-20, Nov 2019. URL: https://doi.org/10.1002/path.5170, doi:10.1002/path.5170. This article has 243 citations.</w:t>
      </w:r>
    </w:p>
    <w:p>
      <w:pPr>
        <w:numPr>
          <w:ilvl w:val="0"/>
          <w:numId w:val="1001"/>
        </w:numPr>
      </w:pPr>
      <w:r>
        <w:t xml:space="preserve">(mohedas2013developmentofan pages 1-2): Agustin H. Mohedas, Xuechao Xing, Kelli A. Armstrong, Alex N. Bullock, Gregory D. Cuny, and Paul B. Yu. Development of an alk2-biased bmp type i receptor kinase inhibitor. ACS chemical biology, 8 6:1291-302, Jun 2013. URL: https://doi.org/10.1021/cb300655w, doi:10.1021/cb300655w. This article has 171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(alsamarah2015uncoveringmolecularbases pages 18-19): Abdelaziz Alsamarah, Alecander E. LaCuran, Peter Oelschlaeger, Jijun Hao, and Yun Luo. Uncovering molecular bases underlying bone morphogenetic protein receptor inhibitor selectivity. PLOS ONE, 10:e0132221, Jul 2015. URL: https://doi.org/10.1371/journal.pone.0132221, doi:10.1371/journal.pone.0132221. This article has 19 citations and is from a peer-reviewed journal.</w:t>
      </w:r>
    </w:p>
    <w:p>
      <w:pPr>
        <w:numPr>
          <w:ilvl w:val="0"/>
          <w:numId w:val="1001"/>
        </w:numPr>
      </w:pPr>
      <w:r>
        <w:t xml:space="preserve">(sanchezduffhues2020bonemorphogeneticprotein pages 1-2): Gonzalo Sanchez-Duffhues, Eleanor Williams, Marie-Jose Goumans, Carl-Henrik Heldin, and Peter ten Dijke. Bone morphogenetic protein receptors: structure, function and targeting by selective small molecule kinase inhibitors. Bone, 138:115472, Sep 2020. URL: https://doi.org/10.1016/j.bone.2020.115472, doi:10.1016/j.bone.2020.115472. This article has 115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(sanchezduffhues2020bonemorphogeneticprotein pages 3-4): Gonzalo Sanchez-Duffhues, Eleanor Williams, Marie-Jose Goumans, Carl-Henrik Heldin, and Peter ten Dijke. Bone morphogenetic protein receptors: structure, function and targeting by selective small molecule kinase inhibitors. Bone, 138:115472, Sep 2020. URL: https://doi.org/10.1016/j.bone.2020.115472, doi:10.1016/j.bone.2020.115472. This article has 115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(sanchezduffhues2020bonemorphogeneticprotein pages 4-5): Gonzalo Sanchez-Duffhues, Eleanor Williams, Marie-Jose Goumans, Carl-Henrik Heldin, and Peter ten Dijke. Bone morphogenetic protein receptors: structure, function and targeting by selective small molecule kinase inhibitors. Bone, 138:115472, Sep 2020. URL: https://doi.org/10.1016/j.bone.2020.115472, doi:10.1016/j.bone.2020.115472. This article has 115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(unknownauthorsUnknownyeardikep. pages 3-4): Di ke, P. ten.(2020)</w:t>
      </w:r>
    </w:p>
    <w:p>
      <w:pPr>
        <w:numPr>
          <w:ilvl w:val="0"/>
          <w:numId w:val="1001"/>
        </w:numPr>
      </w:pPr>
      <w:r>
        <w:t xml:space="preserve">(gipson2020structuralperspectiveof pages 12-14): Gregory R. Gipson, Erich J. Goebel, Kaitlin N. Hart, Emily C. Kappes, Chandramohan Kattamuri, Jason C. McCoy, and Thomas B. Thompson. Structural perspective of bmp ligands and signaling. Bone, 140:115549, Nov 2020. URL: https://doi.org/10.1016/j.bone.2020.115549, doi:10.1016/j.bone.2020.115549. This article has 57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(sanchezduffhues2020bonemorphogeneticprotein pages 8-9): Gonzalo Sanchez-Duffhues, Eleanor Williams, Marie-Jose Goumans, Carl-Henrik Heldin, and Peter ten Dijke. Bone morphogenetic protein receptors: structure, function and targeting by selective small molecule kinase inhibitors. Bone, 138:115472, Sep 2020. URL: https://doi.org/10.1016/j.bone.2020.115472, doi:10.1016/j.bone.2020.115472. This article has 115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2025-07-02T17:27:19Z</dcterms:created>
  <dcterms:modified xsi:type="dcterms:W3CDTF">2025-07-02T17:27:19Z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