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identified in Homo sapiens, Mus musculus, Danio rerio, Drosophila melanogaster and Caenorhabditis elegans, demonstrating deep metazoan conservation of the IKK module (unknownauthors2002roleofi pages 35-40, karin1999thebeginningof pages 3-4).</w:t>
      </w:r>
      <w:r>
        <w:br/>
      </w:r>
      <w:r>
        <w:t xml:space="preserve">• Assigned to the CAMK-like group, IκB kinase (IKK) family in the human kinome according to Manning et al. (unknownauthors2002roleofi pages 35-40, unknownauthors2012ikkbiology pages 19-21).</w:t>
      </w:r>
      <w:r>
        <w:br/>
      </w:r>
      <w:r>
        <w:t xml:space="preserve">• Shares ~50 % sequence identity and an equivalent KD–ULD–SDD layout with IKKβ, reflecting divergence within the IKK sub-family (mulero2019nfκbiκband pages 224-227).</w:t>
      </w:r>
      <w:r>
        <w:br/>
      </w:r>
      <w:r>
        <w:t xml:space="preserve">• A basic surface at the kinase/ULD interface unique to IKKα underlies selective binding to NF-κB–inducing kinase (NIK) and p100 (polley2016structuralbasisfor pages 1-3).</w:t>
      </w:r>
    </w:p>
    <w:p>
      <w:pPr>
        <w:pStyle w:val="BodyText"/>
      </w:pPr>
      <w:r>
        <w:t xml:space="preserve">Reaction Catalyzed</w:t>
      </w:r>
      <w:r>
        <w:br/>
      </w:r>
      <w:r>
        <w:t xml:space="preserve">ATP + protein-Ser/Thr → ADP + protein-Ser/Thr-P (unknownauthors2012ikkbiology pages 1-2, unknownauthors2002roleofi pages 35-40).</w:t>
      </w:r>
    </w:p>
    <w:p>
      <w:pPr>
        <w:pStyle w:val="BodyText"/>
      </w:pPr>
      <w:r>
        <w:t xml:space="preserve">Cofactor Requirements</w:t>
      </w:r>
      <w:r>
        <w:br/>
      </w:r>
      <w:r>
        <w:t xml:space="preserve">Catalysis requires divalent cations, with Mg²⁺ preferred and Mn²⁺ tolerated (unknownauthors2002roleofi pages 35-40).</w:t>
      </w:r>
    </w:p>
    <w:p>
      <w:pPr>
        <w:pStyle w:val="BodyText"/>
      </w:pPr>
      <w:r>
        <w:t xml:space="preserve">Substrate Specificity</w:t>
      </w:r>
      <w:r>
        <w:br/>
      </w:r>
      <w:r>
        <w:t xml:space="preserve">• Consensus motif: acidic residues at positions −2/−3 preceding a serine or threonine phospho-acceptor, typified by the IκBα sequence DSGLDS (unknownauthors2002roleofi pages 35-40).</w:t>
      </w:r>
      <w:r>
        <w:br/>
      </w:r>
      <w:r>
        <w:t xml:space="preserve">• Docking determinant: YDDFxF motif on substrates is recognised by IKKα and allows broad residue flexibility (unknownauthors2022characterizationofproteinprotein pages 214-220).</w:t>
      </w:r>
      <w:r>
        <w:br/>
      </w:r>
      <w:r>
        <w:t xml:space="preserve">• Validated phosphosites: IκBα Ser32/Ser36; NF-κB2/p100 Ser866/Ser870 plus auxiliary Ser99/Ser108/Ser115/Ser123 (unknownauthors2022characterizationofproteinprotein pages 86-91).</w:t>
      </w:r>
    </w:p>
    <w:p>
      <w:pPr>
        <w:pStyle w:val="BodyText"/>
      </w:pPr>
      <w:r>
        <w:t xml:space="preserve">Structure</w:t>
      </w:r>
      <w:r>
        <w:br/>
      </w:r>
      <w:r>
        <w:t xml:space="preserve">• Modular organisation:</w:t>
      </w:r>
      <w:r>
        <w:br/>
      </w:r>
      <w:r>
        <w:t xml:space="preserve">– N-terminal kinase domain (KD) harbouring catalytic Lys44, Glu63, Asp166 and activation loop Ser176/Ser180 (unknownauthors2002roleofi pages 35-40).</w:t>
      </w:r>
      <w:r>
        <w:br/>
      </w:r>
      <w:r>
        <w:t xml:space="preserve">– Ubiquitin-like domain (ULD) packs against the KD and contributes to oligomerisation (mulero2019nfκbiκband pages 224-227).</w:t>
      </w:r>
      <w:r>
        <w:br/>
      </w:r>
      <w:r>
        <w:t xml:space="preserve">– Scaffold/dimerisation domain (SDD) containing leucine-zipper and helix-loop-helix elements that drive back-to-back dimer formation (mulero2019nfκbiκband pages 224-227).</w:t>
      </w:r>
      <w:r>
        <w:br/>
      </w:r>
      <w:r>
        <w:t xml:space="preserve">– C-terminal NEMO-binding segment required for holo-complex assembly (mulero2019nfκbiκband pages 224-227).</w:t>
      </w:r>
      <w:r>
        <w:br/>
      </w:r>
      <w:r>
        <w:t xml:space="preserve">• 3-D architecture: X-ray and cryo-EM structures (e.g., PDB 5TQW, 5EBZ) reveal a dimer that can hexamerise in crystallo; a positively charged KD/ULD face forms the NIK interface (polley2016structuralbasisfor pages 1-3).</w:t>
      </w:r>
      <w:r>
        <w:br/>
      </w:r>
      <w:r>
        <w:t xml:space="preserve">• Conserved kinase-fold elements include a hydrophobic spine and ordered C-helix in the active state (unknownauthors2002roleofi pages 35-40).</w:t>
      </w:r>
      <w:r>
        <w:br/>
      </w:r>
      <w:r>
        <w:t xml:space="preserve">• Asymmetric dimerisation principles resolved for IKKβ are structurally transferable to IKKα (liu2013crystalstructureof pages 1-2).</w:t>
      </w:r>
    </w:p>
    <w:p>
      <w:pPr>
        <w:pStyle w:val="BodyText"/>
      </w:pPr>
      <w:r>
        <w:t xml:space="preserve">Regulation</w:t>
      </w:r>
      <w:r>
        <w:br/>
      </w:r>
      <w:r>
        <w:t xml:space="preserve">• Phosphorylation</w:t>
      </w:r>
      <w:r>
        <w:br/>
      </w:r>
      <w:r>
        <w:t xml:space="preserve">– Ser176/Ser180: activating sites targeted by NIK in the non-canonical pathway and by TAK1 in canonical signalling (unknownauthors2002roleofi pages 35-40, unknownauthors2012ikkbiology pages 19-21).</w:t>
      </w:r>
      <w:r>
        <w:br/>
      </w:r>
      <w:r>
        <w:t xml:space="preserve">– Tyr188 autophosphorylation or Src-mediated phosphorylation further enhances activity (unknownauthors2012ikkbiology pages 1-2).</w:t>
      </w:r>
      <w:r>
        <w:br/>
      </w:r>
      <w:r>
        <w:t xml:space="preserve">• Ubiquitination</w:t>
      </w:r>
      <w:r>
        <w:br/>
      </w:r>
      <w:r>
        <w:t xml:space="preserve">– Lys63-linked chains assembled by TRAF6 promote activation; CYLD removes these chains, leading to attenuation (unknownauthors2002roleofi pages 35-40, unknownauthors2012ikkbiology pages 19-21).</w:t>
      </w:r>
      <w:r>
        <w:br/>
      </w:r>
      <w:r>
        <w:t xml:space="preserve">• Dephosphorylation by PP2A reverses activation-loop phosphorylation (unknownauthors2002roleofi pages 35-40).</w:t>
      </w:r>
      <w:r>
        <w:br/>
      </w:r>
      <w:r>
        <w:t xml:space="preserve">• Higher-order oligomerisation facilitates trans-autophosphorylation; NEMO binding couples IKKα dimers to receptor-proximal ubiquitin scaffolds (mulero2019nfκbiκband pages 224-227).</w:t>
      </w:r>
    </w:p>
    <w:p>
      <w:pPr>
        <w:pStyle w:val="BodyText"/>
      </w:pPr>
      <w:r>
        <w:t xml:space="preserve">Function</w:t>
      </w:r>
      <w:r>
        <w:br/>
      </w:r>
      <w:r>
        <w:t xml:space="preserve">• Expression: ubiquitous with pronounced levels in immune cells and epidermis (unknownauthors2002roleofi pages 35-40).</w:t>
      </w:r>
      <w:r>
        <w:br/>
      </w:r>
      <w:r>
        <w:t xml:space="preserve">• Upstream stimuli: TNFα, IL-1β, LPS (canonical); LTβR, CD40, BAFFR (non-canonical) converge via TAK1 or NIK to activate the kinase (unknownauthors2002roleofi pages 35-40).</w:t>
      </w:r>
      <w:r>
        <w:br/>
      </w:r>
      <w:r>
        <w:t xml:space="preserve">• Principal substrates and partners:</w:t>
      </w:r>
      <w:r>
        <w:br/>
      </w:r>
      <w:r>
        <w:t xml:space="preserve">– Cytoplasmic: IκBα and related inhibitors (canonical NF-κB); p100 in NF-κB2 processing (non-canonical) (unknownauthors2022characterizationofproteinprotein pages 86-91).</w:t>
      </w:r>
      <w:r>
        <w:br/>
      </w:r>
      <w:r>
        <w:t xml:space="preserve">– Nuclear: histone H3, SRC-3, IRF7, SMRT corepressor—linking IKKα to chromatin remodelling and interferon induction (unknownauthors2002roleofi pages 35-40, unknownauthors2022characterizationofproteinprotein pages 86-91).</w:t>
      </w:r>
      <w:r>
        <w:br/>
      </w:r>
      <w:r>
        <w:t xml:space="preserve">– Complex constituents: IKKβ and NEMO form the canonical heterotrimer; homodimeric IKKα predominates in the non-canonical pathway (unknownauthors2002roleofi pages 35-40).</w:t>
      </w:r>
      <w:r>
        <w:br/>
      </w:r>
      <w:r>
        <w:t xml:space="preserve">• Biological roles:</w:t>
      </w:r>
      <w:r>
        <w:br/>
      </w:r>
      <w:r>
        <w:t xml:space="preserve">– Drives canonical NF-κB activation by phosphorylating IκBs, enabling rapid RelA/p50 nuclear translocation (unknownauthors2012ikkbiology pages 1-2).</w:t>
      </w:r>
      <w:r>
        <w:br/>
      </w:r>
      <w:r>
        <w:t xml:space="preserve">– Essential for non-canonical signalling that generates RelB/p52 dimers critical for lymphoid organogenesis (unknownauthors2022characterizationofproteinprotein pages 86-91).</w:t>
      </w:r>
      <w:r>
        <w:br/>
      </w:r>
      <w:r>
        <w:t xml:space="preserve">– NF-κB-independent functions in cell-cycle control and epidermal differentiation through nuclear substrates (unknownauthors2012ikkbiology pages 7-8).</w:t>
      </w:r>
    </w:p>
    <w:p>
      <w:pPr>
        <w:pStyle w:val="BodyText"/>
      </w:pPr>
      <w:r>
        <w:t xml:space="preserve">Inhibitors</w:t>
      </w:r>
      <w:r>
        <w:br/>
      </w:r>
      <w:r>
        <w:t xml:space="preserve">ATP-competitive inhibitors with reported potency against IKKα include BMS-345541, MLN120B, BAY 65-1942 and TPCA-1 (unknownauthors2002roleofi pages 35-40, unknownauthors2012ikkbiology pages 19-21).</w:t>
      </w:r>
    </w:p>
    <w:p>
      <w:pPr>
        <w:pStyle w:val="BodyText"/>
      </w:pPr>
      <w:r>
        <w:t xml:space="preserve">Other Comments</w:t>
      </w:r>
      <w:r>
        <w:br/>
      </w:r>
      <w:r>
        <w:t xml:space="preserve">• Germline loss-of-function mutations in CHUK cause combined immunodeficiency with ectodermal dysplasia due to impaired non-canonical NF-κB activation (riller2024compoundheterozygousmutations pages 1-3, unknownauthors2002roleofi pages 35-40).</w:t>
      </w:r>
      <w:r>
        <w:br/>
      </w:r>
      <w:r>
        <w:t xml:space="preserve">• Somatic or regulatory mutations that elevate IKKα signalling have been documented in diverse cancers, underscoring its oncogenic potential (unknownauthors2002roleofi pages 35-40).</w:t>
      </w:r>
    </w:p>
    <w:p>
      <w:pPr>
        <w:pStyle w:val="BodyText"/>
      </w:pPr>
      <w:r>
        <w:t xml:space="preserve">References</w:t>
      </w:r>
    </w:p>
    <w:p>
      <w:pPr>
        <w:numPr>
          <w:ilvl w:val="0"/>
          <w:numId w:val="1001"/>
        </w:numPr>
      </w:pPr>
      <w:r>
        <w:t xml:space="preserve">(unknownauthors2002roleofi pages 35-40): Role of I Kappa B Kinase Alpha and I Kappa B Kinase Beta in the Development and Function of B and T Lymphocytes</w:t>
      </w:r>
    </w:p>
    <w:p>
      <w:pPr>
        <w:numPr>
          <w:ilvl w:val="0"/>
          <w:numId w:val="1001"/>
        </w:numPr>
      </w:pPr>
      <w:r>
        <w:t xml:space="preserve">(unknownauthors2012ikkbiology pages 19-21): IKK biology</w:t>
      </w:r>
    </w:p>
    <w:p>
      <w:pPr>
        <w:numPr>
          <w:ilvl w:val="0"/>
          <w:numId w:val="1001"/>
        </w:numPr>
      </w:pPr>
      <w:r>
        <w:t xml:space="preserve">(karin1999thebeginningof pages 3-4): Michael Karin. The beginning of the end: iκb kinase (ikk) and nf-κb activation*. The Journal of Biological Chemistry, 274:27339-27342, Sep 1999. URL: https://doi.org/10.1074/jbc.274.39.27339, doi:10.1074/jbc.274.39.27339. This article has 926 citations.</w:t>
      </w:r>
    </w:p>
    <w:p>
      <w:pPr>
        <w:numPr>
          <w:ilvl w:val="0"/>
          <w:numId w:val="1001"/>
        </w:numPr>
      </w:pPr>
      <w:r>
        <w:t xml:space="preserve">(liu2013crystalstructureof pages 1-2): Shenping Liu, Yohann R. Misquitta, Andrea Olland, Mark A. Johnson, Kerry S. Kelleher, Ron Kriz, Laura L. Lin, Mark Stahl, and Lidia Mosyak. Crystal structure of a human iκb kinase β asymmetric dimer. Journal of Biological Chemistry, 288:22758-22767, Aug 2013. URL: https://doi.org/10.1074/jbc.m113.482596, doi:10.1074/jbc.m113.482596. This article has 117 citations and is from a domain leading peer-reviewed journal.</w:t>
      </w:r>
    </w:p>
    <w:p>
      <w:pPr>
        <w:numPr>
          <w:ilvl w:val="0"/>
          <w:numId w:val="1001"/>
        </w:numPr>
      </w:pPr>
      <w:r>
        <w:t xml:space="preserve">(riller2024compoundheterozygousmutations pages 1-3): Quentin Riller, Boris Sorin, Charline Courteille, Duong Ho-Nhat, Tom Le Voyer, Jean-Christophe Debray, Marie-Claude Stolzenberg, Olivier Pellé, Thomas Becquard, María Rodrigo Riestra, Laureline Berteloot, Mélanie Migaud, Laure Delage, Marie Jeanpierre, Charlotte Boussard, Camille Brunaud, Aude Magérus, Victor Michel, Camille Roux, Capucine Picard, Cécile Masson, Christine Bole-Feysot, Nicolas Cagnard, Aurélien Corneau, Isabelle Meyts, Véronique Baud, Jean-Laurent Casanova, Alain Fischer, Emmanuel Dejardin, Anne Puel, Cécile Boulanger, Bénédicte Neven, and Frédéric Rieux-Laucat. Compound heterozygous mutations in the kinase domain of ikkα lead to immunodeficiency and immune dysregulation. MedRxiv, May 2024. URL: https://doi.org/10.1101/2024.05.17.24307356, doi:10.1101/2024.05.17.24307356. This article has 0 citations.</w:t>
      </w:r>
    </w:p>
    <w:p>
      <w:pPr>
        <w:numPr>
          <w:ilvl w:val="0"/>
          <w:numId w:val="1001"/>
        </w:numPr>
      </w:pPr>
      <w:r>
        <w:t xml:space="preserve">(unknownauthors2012ikkbiology pages 1-2): IKK biology</w:t>
      </w:r>
    </w:p>
    <w:p>
      <w:pPr>
        <w:numPr>
          <w:ilvl w:val="0"/>
          <w:numId w:val="1001"/>
        </w:numPr>
      </w:pPr>
      <w:r>
        <w:t xml:space="preserve">(unknownauthors2012ikkbiology pages 7-8): IKK biology</w:t>
      </w:r>
    </w:p>
    <w:p>
      <w:pPr>
        <w:numPr>
          <w:ilvl w:val="0"/>
          <w:numId w:val="1001"/>
        </w:numPr>
      </w:pPr>
      <w:r>
        <w:t xml:space="preserve">(unknownauthors2022characterizationofproteinprotein pages 214-220): Characterization of protein-protein interactions mediated by the IKK complex</w:t>
      </w:r>
    </w:p>
    <w:p>
      <w:pPr>
        <w:numPr>
          <w:ilvl w:val="0"/>
          <w:numId w:val="1001"/>
        </w:numPr>
      </w:pPr>
      <w:r>
        <w:t xml:space="preserve">(mulero2019nfκbiκband pages 224-227): M. C. Mulero, T. Huxford, and G. Ghosh. Nf-κb, iκb, and ikk: integral components of immune system signaling. Advances in experimental medicine and biology, 1172:207-226, 2019. URL: https://doi.org/10.1007/978-981-13-9367-9_10, doi:10.1007/978-981-13-9367-9_10. This article has 265 citations and is from a peer-reviewed journal.</w:t>
      </w:r>
    </w:p>
    <w:p>
      <w:pPr>
        <w:numPr>
          <w:ilvl w:val="0"/>
          <w:numId w:val="1001"/>
        </w:numPr>
      </w:pPr>
      <w:r>
        <w:t xml:space="preserve">(polley2016structuralbasisfor pages 1-3): Smarajit Polley, D. Passos, De-bin Huang, M. C. Mulero, Anup Mazumder, T. Biswas, I. Verma, D. Lyumkis, and G. Ghosh. Structural basis for the activation of ikk1/α. Cell reports, 17:1907-1914, Nov 2016. URL: https://doi.org/10.1016/j.celrep.2016.10.067, doi:10.1016/j.celrep.2016.10.067. This article has 79 citations and is from a highest quality peer-reviewed journal.</w:t>
      </w:r>
    </w:p>
    <w:p>
      <w:pPr>
        <w:numPr>
          <w:ilvl w:val="0"/>
          <w:numId w:val="1001"/>
        </w:numPr>
      </w:pPr>
      <w:r>
        <w:t xml:space="preserve">(unknownauthors2022characterizationofproteinprotein pages 86-91): Characterization of protein-protein interactions mediated by the IKK complex</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