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Orthologs reported in Saccharomyces cerevisiae, Schizosaccharomyces pombe and Drosophila melanogaster underline conservation from fungi to insects (Bolanos-Garcia, 2009)</w:t>
      </w:r>
      <w:r>
        <w:br/>
      </w:r>
      <w:r>
        <w:t xml:space="preserve">• A vertebrate duplication generated paralog BUBR1; BUB1 retained catalytic competence whereas BUBR1 became a pseudokinase (Suijkerbuijk, 2012)</w:t>
      </w:r>
      <w:r>
        <w:br/>
      </w:r>
      <w:r>
        <w:t xml:space="preserve">• BUB1 and BUBR1 constitute the BUB sub-family placed in the “Other” group of the serine/threonine kinome (Suijkerbuijk, 2012)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protein-Ser/Thr-OH ⇄ ADP + protein-Ser/Thr-O-PO₃²⁻ (Kang, 2008)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Mg²⁺, as shown by Mg²⁺–nucleotide coordination in crystal structures and biochemical assays (Breit, 2015)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Consensus motif ψ(x)₅T/S, with ψ denoting an aliphatic residue and small upstream aliphatic side chains enhancing recognition (Breit, 2015)</w:t>
      </w:r>
      <w:r>
        <w:br/>
      </w:r>
      <w:r>
        <w:t xml:space="preserve">• Histone H2A-Thr120 matches this motif and is a validated in-vivo substrate (Asghar, 2015)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Residues 1–179 form a triple TPR array that docks onto Blinkin/KNL1 for kinetochore targeting; crystal structure at 1.74 Å (PDB 3ESL) (Bolanos-Garcia, 2009)</w:t>
      </w:r>
      <w:r>
        <w:br/>
      </w:r>
      <w:r>
        <w:t xml:space="preserve">• A central GLEBS motif (~240–280) binds Bub3, enabling kinetochore recruitment (Bolanos-Garcia, 2011)</w:t>
      </w:r>
      <w:r>
        <w:br/>
      </w:r>
      <w:r>
        <w:t xml:space="preserve">• C-terminal kinase domain (residues 735–1085) exhibits canonical bilobal fold; inactive (PDB 4R8Q) and active (PDB 4QPM) states reveal P+1-loop rearrangement after Ser969 autophosphorylation (Breit, 2015)</w:t>
      </w:r>
      <w:r>
        <w:br/>
      </w:r>
      <w:r>
        <w:t xml:space="preserve">• Gatekeeper Gly866 enlarges the ATP pocket, allowing binding of bulky adenine analogues (Kang, 2008)</w:t>
      </w:r>
      <w:r>
        <w:br/>
      </w:r>
      <w:r>
        <w:t xml:space="preserve">• An N-terminal extension wraps the N-lobe and functions as an intrinsic “mini-cyclin” stabilising the activation segment (Kang, 2008)</w:t>
      </w:r>
      <w:r>
        <w:br/>
      </w:r>
      <w:r>
        <w:t xml:space="preserve">• Regulatory spine is pre-aligned in both conformations, facilitating rapid activation once the P+1 blockade is lifted (Breit, 2015)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Ser969 within the P+1 loop relieves substrate occlusion and activates the kinase (Breit, 2015)</w:t>
      </w:r>
      <w:r>
        <w:br/>
      </w:r>
      <w:r>
        <w:t xml:space="preserve">• Autophosphorylation at Thr589 modulates kinetochore residence and local substrate phosphorylation (Asghar, 2015)</w:t>
      </w:r>
      <w:r>
        <w:br/>
      </w:r>
      <w:r>
        <w:t xml:space="preserve">• Mps1-dependent phosphorylation of the CD1 region promotes Mad1 recruitment to unattached kinetochores (Kim, 2021)</w:t>
      </w:r>
      <w:r>
        <w:br/>
      </w:r>
      <w:r>
        <w:t xml:space="preserve">• CDK1 and Plk1 introduce additional phosphorylations in the central segment that fine-tune checkpoint timing (Bolanos-Garcia, 2011)</w:t>
      </w:r>
      <w:r>
        <w:br/>
      </w:r>
      <w:r>
        <w:t xml:space="preserve">• PP1 and PP2A-B56 dephosphorylate Bub1/Bub3, opposing kinetochore binding (Kim, 2021)</w:t>
      </w:r>
      <w:r>
        <w:br/>
      </w:r>
      <w:r>
        <w:t xml:space="preserve">• Two N-terminal KEN boxes target Bub1 for APC/C-Cdh1-mediated proteolysis in G1 (Bolanos-Garcia, 2011)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Initiates spindle-assembly checkpoint signalling and sustains mitotic arrest after spindle perturbation (Hoffmann, 2006)</w:t>
      </w:r>
      <w:r>
        <w:br/>
      </w:r>
      <w:r>
        <w:t xml:space="preserve">• Required for kinetochore localisation of BUBR1, BUB3, MAD2, CENPE, CENPF and PLK1 (Bolanos-Garcia, 2011)</w:t>
      </w:r>
      <w:r>
        <w:br/>
      </w:r>
      <w:r>
        <w:t xml:space="preserve">• Phosphorylates CDC20-Ser153, reinforcing APC/C inhibition (Bolanos-Garcia, 2011)</w:t>
      </w:r>
      <w:r>
        <w:br/>
      </w:r>
      <w:r>
        <w:t xml:space="preserve">• Phosphorylates histone H2A-Thr120, creating the SGO1 docking site for cohesion protection (Asghar, 2015)</w:t>
      </w:r>
      <w:r>
        <w:br/>
      </w:r>
      <w:r>
        <w:t xml:space="preserve">• Promotes centromeric enrichment of Aurora B and other chromosomal passenger complex components (Kim, 2021)</w:t>
      </w:r>
      <w:r>
        <w:br/>
      </w:r>
      <w:r>
        <w:t xml:space="preserve">• Bub1:Bub3 forms a heterotetramer with BubR1:Bub3 on KNL1 phospho-MELT repeats to assemble the checkpoint platform (Breit, 2015)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2OH-BNPP1 is an ATP-competitive inhibitor exploiting the expanded gatekeeper pocket; IC₅₀ ≈ 0.25 µM (Kang, 2008)</w:t>
      </w:r>
      <w:r>
        <w:br/>
      </w:r>
      <w:r>
        <w:t xml:space="preserve">• Pharicin A, a diterpenoid, inhibits Bub1 and induces mitotic arrest in tumour cells (Bolanos-Garcia, 2011)</w:t>
      </w:r>
      <w:r>
        <w:br/>
      </w:r>
      <w:r>
        <w:t xml:space="preserve">• BAY-320 and BAY-524 inhibit Bub1 and potentiate microtubule poisons in aneuploid cancer models (Kim, 2021)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Bub1 loss causes chromosome mis-segregation and is lethal in Drosophila, underscoring essentiality (Bolanos-Garcia, 2009)</w:t>
      </w:r>
      <w:r>
        <w:br/>
      </w:r>
      <w:r>
        <w:t xml:space="preserve">• Tumour-derived mutations clustering near the kinase domain destabilise the protein and weaken checkpoint fidelity (Bolanos-Garcia, 2011)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2025-07-02T16:40:29Z</dcterms:created>
  <dcterms:modified xsi:type="dcterms:W3CDTF">2025-07-02T16:40:29Z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