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AGC kinase group, RSK/MSK sub-family on the human kinome dendrogram first defined by Manning and reiterated in later large-scale surveys (johnson2023anatlasof pages 4-4).</w:t>
      </w:r>
      <w:r>
        <w:br/>
      </w:r>
      <w:r>
        <w:t xml:space="preserve">• Closely related to MSK1 (≈ 75 % identity) and more distantly to RSK1/MAPKAP-K1 (≈ 40 % identity) (deak1998mitogenandstressactivated pages 2-3).</w:t>
      </w:r>
      <w:r>
        <w:br/>
      </w:r>
      <w:r>
        <w:t xml:space="preserve">• Vertebrate orthologs include mouse Rps6ka4 (functional in Msk1/2 double-knockout MEFs) (wiggin2002msk1andmsk2 pages 1-2).</w:t>
      </w:r>
      <w:r>
        <w:br/>
      </w:r>
      <w:r>
        <w:t xml:space="preserve">• Invertebrate orthologs are present in Drosophila (JIL-1) and Caenorhabditis elegans (C54G4); MSK genes are absent from fungi and plants (unknownauthors2011identificationandcharacterization pages 33-36).</w:t>
      </w:r>
    </w:p>
    <w:bookmarkEnd w:id="9"/>
    <w:bookmarkStart w:id="10" w:name="reaction-catalyzed"/>
    <w:p>
      <w:pPr>
        <w:pStyle w:val="Heading2"/>
      </w:pPr>
      <w:r>
        <w:t xml:space="preserve">Reaction Catalyzed</w:t>
      </w:r>
    </w:p>
    <w:p>
      <w:pPr>
        <w:pStyle w:val="FirstParagraph"/>
      </w:pPr>
      <w:r>
        <w:t xml:space="preserve">ATP + protein-Ser/Thr ⇌ ADP + protein-O-phospho-Ser/Thr (unknownauthors2011identificationandcharacterization pages 36-40).</w:t>
      </w:r>
    </w:p>
    <w:bookmarkEnd w:id="10"/>
    <w:bookmarkStart w:id="11" w:name="cofactor-requirements"/>
    <w:p>
      <w:pPr>
        <w:pStyle w:val="Heading2"/>
      </w:pPr>
      <w:r>
        <w:t xml:space="preserve">Cofactor Requirements</w:t>
      </w:r>
    </w:p>
    <w:p>
      <w:pPr>
        <w:pStyle w:val="FirstParagraph"/>
      </w:pPr>
      <w:r>
        <w:t xml:space="preserve">No divalent-metal requirement is reported for MSK2 in the cited literature (unknownauthors2020rsk4targetinga pages 54-58).</w:t>
      </w:r>
    </w:p>
    <w:bookmarkEnd w:id="11"/>
    <w:bookmarkStart w:id="12" w:name="substrate-specificity"/>
    <w:p>
      <w:pPr>
        <w:pStyle w:val="Heading2"/>
      </w:pPr>
      <w:r>
        <w:t xml:space="preserve">Substrate Specificity</w:t>
      </w:r>
    </w:p>
    <w:p>
      <w:pPr>
        <w:pStyle w:val="FirstParagraph"/>
      </w:pPr>
      <w:r>
        <w:t xml:space="preserve">• Consensus motif: Arg-Arg-X-Ser/Thr (R-R-X-S/T) (unknownauthors2011identificationandcharacterization pages 36-40).</w:t>
      </w:r>
      <w:r>
        <w:br/>
      </w:r>
      <w:r>
        <w:t xml:space="preserve">• High-throughput phosphoproteomics groups MSK2 with basophilic/proline-directed Ser/Thr kinases, refining preferred residue frequencies surrounding the phosphosite (johnson2023anatlasof pages 12-18).</w:t>
      </w:r>
    </w:p>
    <w:bookmarkEnd w:id="12"/>
    <w:bookmarkStart w:id="13" w:name="structure"/>
    <w:p>
      <w:pPr>
        <w:pStyle w:val="Heading2"/>
      </w:pPr>
      <w:r>
        <w:t xml:space="preserve">Structure</w:t>
      </w:r>
    </w:p>
    <w:p>
      <w:pPr>
        <w:pStyle w:val="FirstParagraph"/>
      </w:pPr>
      <w:r>
        <w:t xml:space="preserve">• Single 802-residue polypeptide containing two kinase domains:</w:t>
      </w:r>
      <w:r>
        <w:br/>
      </w:r>
      <w:r>
        <w:t xml:space="preserve">– N-terminal kinase domain (NTKD, AGC-type) executes substrate phosphorylation.</w:t>
      </w:r>
      <w:r>
        <w:br/>
      </w:r>
      <w:r>
        <w:t xml:space="preserve">– C-terminal kinase domain (CTKD, CaMK-like) receives activating phosphorylations from ERK1/2 or p38 (unknownauthors2011identificationandcharacterization pages 33-36, deak1998mitogenandstressactivated pages 2-3).</w:t>
      </w:r>
      <w:r>
        <w:br/>
      </w:r>
      <w:r>
        <w:t xml:space="preserve">• Linker harbours a turn-motif phosphosite Ser347 and a hydrophobic-motif residue analogous to Thr700 of MSK1, both required for maximal activity (unknownauthors2011identificationandcharacterization pages 36-40).</w:t>
      </w:r>
      <w:r>
        <w:br/>
      </w:r>
      <w:r>
        <w:t xml:space="preserve">• CTKD tail contains a MAPK docking D-domain and a bipartite nuclear localisation signal that drive nuclear residency (unknownauthors2011identificationandcharacterization pages 33-36).</w:t>
      </w:r>
      <w:r>
        <w:br/>
      </w:r>
      <w:r>
        <w:t xml:space="preserve">• AlphaFold and related RSK crystal structures define canonical bilobed folds, conserved HRD/DFG catalytic motifs, C-helix positioning and hydrophobic spine typical of AGC kinases (johnson2023anatlasof pages 4-4, unknownauthors2020rsk4targetinga pages 54-58).</w:t>
      </w:r>
    </w:p>
    <w:bookmarkEnd w:id="13"/>
    <w:bookmarkStart w:id="14" w:name="regulation"/>
    <w:p>
      <w:pPr>
        <w:pStyle w:val="Heading2"/>
      </w:pPr>
      <w:r>
        <w:t xml:space="preserve">Regulation</w:t>
      </w:r>
    </w:p>
    <w:p>
      <w:pPr>
        <w:pStyle w:val="FirstParagraph"/>
      </w:pPr>
      <w:r>
        <w:t xml:space="preserve">Post-translational phosphorylation</w:t>
      </w:r>
      <w:r>
        <w:br/>
      </w:r>
      <w:r>
        <w:t xml:space="preserve">• ERK1/2 and p38 phosphorylate CTKD activation-loop and linker turn-motif residues to initiate activation (deak1998mitogenandstressactivated pages 2-3, unknownauthors2011identificationandcharacterization pages 33-36).</w:t>
      </w:r>
      <w:r>
        <w:br/>
      </w:r>
      <w:r>
        <w:t xml:space="preserve">• Autophosphorylation by CTKD modifies NTKD activation loop and Ser347, completing activation (unknownauthors2011identificationandcharacterization pages 36-40).</w:t>
      </w:r>
      <w:r>
        <w:br/>
      </w:r>
      <w:r>
        <w:t xml:space="preserve">• CK2 phosphorylates Ser324, potentiating UV-induced activation (unknownauthors2011identificationandcharacterization pages 109-114).</w:t>
      </w:r>
      <w:r>
        <w:br/>
      </w:r>
      <w:r>
        <w:t xml:space="preserve">• Hydrophobic-motif phosphorylation (Thr700 equivalent) stabilises the active conformation (unknownauthors2011identificationandcharacterization pages 36-40).</w:t>
      </w:r>
    </w:p>
    <w:p>
      <w:pPr>
        <w:pStyle w:val="BodyText"/>
      </w:pPr>
      <w:r>
        <w:t xml:space="preserve">Allosteric &amp; localisation control</w:t>
      </w:r>
      <w:r>
        <w:br/>
      </w:r>
      <w:r>
        <w:t xml:space="preserve">• ERK or p38 remain docked through the D-domain after phosphorylation, maintaining an active MSK2 conformation (unknownauthors2011identificationandcharacterization pages 36-40).</w:t>
      </w:r>
      <w:r>
        <w:br/>
      </w:r>
      <w:r>
        <w:t xml:space="preserve">• Glucocorticoids trigger CRM1-dependent nuclear export of MSK isoforms, dampening inflammatory gene transcription (vermeulen2009theversatilerole pages 1-2).</w:t>
      </w:r>
    </w:p>
    <w:p>
      <w:pPr>
        <w:pStyle w:val="BodyText"/>
      </w:pPr>
      <w:r>
        <w:t xml:space="preserve">Chemical blockade of upstream pathways</w:t>
      </w:r>
      <w:r>
        <w:br/>
      </w:r>
      <w:r>
        <w:t xml:space="preserve">• MEK inhibitor PD98059 (ERK pathway) or p38 inhibitor SB203580 individually reduce, and in combination abolish, MSK-dependent CREB phosphorylation in cells (deak1998mitogenandstressactivated pages 10-12).</w:t>
      </w:r>
    </w:p>
    <w:bookmarkEnd w:id="14"/>
    <w:bookmarkStart w:id="15" w:name="function"/>
    <w:p>
      <w:pPr>
        <w:pStyle w:val="Heading2"/>
      </w:pPr>
      <w:r>
        <w:t xml:space="preserve">Function</w:t>
      </w:r>
    </w:p>
    <w:p>
      <w:pPr>
        <w:pStyle w:val="FirstParagraph"/>
      </w:pPr>
      <w:r>
        <w:t xml:space="preserve">Expression &amp; localisation</w:t>
      </w:r>
      <w:r>
        <w:br/>
      </w:r>
      <w:r>
        <w:t xml:space="preserve">• Detected as a ~3 kb transcript in many human tissues; protein is predominantly nuclear (deak1998mitogenandstressactivated pages 2-3).</w:t>
      </w:r>
    </w:p>
    <w:p>
      <w:pPr>
        <w:pStyle w:val="BodyText"/>
      </w:pPr>
      <w:r>
        <w:t xml:space="preserve">Upstream stimuli</w:t>
      </w:r>
      <w:r>
        <w:br/>
      </w:r>
      <w:r>
        <w:t xml:space="preserve">• Activated by growth factors (EGF), cytokines (TNFα), Toll-like receptor ligands, UV-C and anisomycin via converging ERK1/2 and p38 cascades (vermeulen2009theversatilerole pages 2-3, wiggin2002msk1andmsk2 pages 1-2).</w:t>
      </w:r>
    </w:p>
    <w:p>
      <w:pPr>
        <w:pStyle w:val="BodyText"/>
      </w:pPr>
      <w:r>
        <w:t xml:space="preserve">Validated substrates</w:t>
      </w:r>
      <w:r>
        <w:br/>
      </w:r>
      <w:r>
        <w:t xml:space="preserve">• Transcription factors: CREB1 Ser133, ATF1, NF-κB p65 Ser276, STAT3 Ser727 (wiggin2002msk1andmsk2 pages 1-2, unknownauthors2011identificationandcharacterization pages 40-44, vermeulen2009theversatilerole pages 4-6).</w:t>
      </w:r>
      <w:r>
        <w:br/>
      </w:r>
      <w:r>
        <w:t xml:space="preserve">• Chromatin components: histone H3 Ser10/Ser28, HMGN1 Ser6 (unknownauthors2011identificationandcharacterization pages 40-44, vermeulen2009theversatilerole pages 4-6).</w:t>
      </w:r>
      <w:r>
        <w:br/>
      </w:r>
      <w:r>
        <w:t xml:space="preserve">• Additional targets: BAD Ser112 and 4E-BP1 multiple sites after UV-B exposure (vermeulen2009theversatilerole pages 4-6).</w:t>
      </w:r>
    </w:p>
    <w:p>
      <w:pPr>
        <w:pStyle w:val="BodyText"/>
      </w:pPr>
      <w:r>
        <w:t xml:space="preserve">Biological roles</w:t>
      </w:r>
      <w:r>
        <w:br/>
      </w:r>
      <w:r>
        <w:t xml:space="preserve">• Drives immediate-early gene expression (c-fos, junB) in response to mitogen or stress (wiggin2002msk1andmsk2 pages 1-2).</w:t>
      </w:r>
      <w:r>
        <w:br/>
      </w:r>
      <w:r>
        <w:t xml:space="preserve">• Regulates inflammatory gene programmes (IL-6, IL-8, IL-10, DUSP-1) in LPS-stimulated macrophages (unknownauthors2011identificationandcharacterization pages 40-44).</w:t>
      </w:r>
      <w:r>
        <w:br/>
      </w:r>
      <w:r>
        <w:t xml:space="preserve">• Couples ERK/p38 signalling to chromatin modification and transcriptional activation (vermeulen2009theversatilerole pages 2-3).</w:t>
      </w:r>
    </w:p>
    <w:bookmarkEnd w:id="15"/>
    <w:bookmarkStart w:id="16" w:name="inhibitors"/>
    <w:p>
      <w:pPr>
        <w:pStyle w:val="Heading2"/>
      </w:pPr>
      <w:r>
        <w:t xml:space="preserve">Inhibitors</w:t>
      </w:r>
    </w:p>
    <w:p>
      <w:pPr>
        <w:pStyle w:val="FirstParagraph"/>
      </w:pPr>
      <w:r>
        <w:t xml:space="preserve">• SB-747651A: ATP-competitive, IC₅₀ ≈ 50 nM for MSK1/2; blocks cellular CREB phosphorylation without affecting upstream MAPKs (naqvi2012characterizationofthe pages 1-2, naqvi2012characterizationofthe pages 4-5).</w:t>
      </w:r>
      <w:r>
        <w:br/>
      </w:r>
      <w:r>
        <w:t xml:space="preserve">• Broad AGC inhibitors H89 and Ro-31-8220 inhibit MSK catalytic activity but lack specificity (vermeulen2009theversatilerole pages 4-6, wiggin2002msk1andmsk2 pages 1-2).</w:t>
      </w:r>
    </w:p>
    <w:bookmarkEnd w:id="16"/>
    <w:bookmarkStart w:id="17" w:name="other-comments"/>
    <w:p>
      <w:pPr>
        <w:pStyle w:val="Heading2"/>
      </w:pPr>
      <w:r>
        <w:t xml:space="preserve">Other Comments</w:t>
      </w:r>
    </w:p>
    <w:p>
      <w:pPr>
        <w:pStyle w:val="FirstParagraph"/>
      </w:pPr>
      <w:r>
        <w:t xml:space="preserve">• Msk1/2 double-knockout mice exhibit exaggerated inflammatory responses and heightened LPS sensitivity (unknownauthors2011identificationandcharacterization pages 40-44).</w:t>
      </w:r>
      <w:r>
        <w:br/>
      </w:r>
      <w:r>
        <w:t xml:space="preserve">• Elevated MSK activity is implicated in psoriatic lesions (vermeulen2009theversatilerole pages 8-8).</w:t>
      </w:r>
    </w:p>
    <w:p>
      <w:pPr>
        <w:pStyle w:val="BodyText"/>
      </w:pPr>
      <w:r>
        <w:t xml:space="preserve">References</w:t>
      </w:r>
    </w:p>
    <w:p>
      <w:pPr>
        <w:numPr>
          <w:ilvl w:val="0"/>
          <w:numId w:val="1001"/>
        </w:numPr>
      </w:pPr>
      <w:r>
        <w:t xml:space="preserve">(deak1998mitogenandstressactivated pages 2-3): M. Deák, A. Clifton, John M. Lucocq, and D. Alessi. Mitogen- and stress-activated protein kinase-1 (msk1) is directly activated by mapk and sapk2/p38, and may mediate activationofcreb. The EMBO Journal, 17:4426-4441, Aug 1998. URL: https://doi.org/10.1093/emboj/17.15.4426, doi:10.1093/emboj/17.15.4426. This article has 1307 citations.</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(naqvi2012characterizationofthe pages 1-2): S. Naqvi, A. Macdonald, C. McCoy, J. Darragh, A. Reith, and J. Arthur. Characterization of the cellular action of the msk inhibitor sb-747651a. The Biochemical journal, 441 1:347-57, 2012. URL: https://doi.org/10.1042/bj20110970, doi:10.1042/bj20110970. This article has 68 citations.</w:t>
      </w:r>
    </w:p>
    <w:p>
      <w:pPr>
        <w:numPr>
          <w:ilvl w:val="0"/>
          <w:numId w:val="1001"/>
        </w:numPr>
      </w:pPr>
      <w:r>
        <w:t xml:space="preserve">(unknownauthors2011identificationandcharacterization pages 33-36): Identification and Characterization of a Novel CK2-MSK2 Iinteraction in the UV Response</w:t>
      </w:r>
    </w:p>
    <w:p>
      <w:pPr>
        <w:numPr>
          <w:ilvl w:val="0"/>
          <w:numId w:val="1001"/>
        </w:numPr>
      </w:pPr>
      <w:r>
        <w:t xml:space="preserve">(unknownauthors2011identificationandcharacterization pages 36-40): Identification and Characterization of a Novel CK2-MSK2 Iinteraction in the UV Response</w:t>
      </w:r>
    </w:p>
    <w:p>
      <w:pPr>
        <w:numPr>
          <w:ilvl w:val="0"/>
          <w:numId w:val="1001"/>
        </w:numPr>
      </w:pPr>
      <w:r>
        <w:t xml:space="preserve">(unknownauthors2011identificationandcharacterization pages 40-44): Identification and Characterization of a Novel CK2-MSK2 Iinteraction in the UV Response</w:t>
      </w:r>
    </w:p>
    <w:p>
      <w:pPr>
        <w:numPr>
          <w:ilvl w:val="0"/>
          <w:numId w:val="1001"/>
        </w:numPr>
      </w:pPr>
      <w:r>
        <w:t xml:space="preserve">(unknownauthors2020rsk4targetinga pages 54-58): RSK4 Targeting: A New Therapeutic Strategy Against Drug Resistance and Metastasis in Non-small Cell Lung Cancer</w:t>
      </w:r>
    </w:p>
    <w:p>
      <w:pPr>
        <w:numPr>
          <w:ilvl w:val="0"/>
          <w:numId w:val="1001"/>
        </w:numPr>
      </w:pPr>
      <w:r>
        <w:t xml:space="preserve">(vermeulen2009theversatilerole pages 2-3): L. Vermeulen, W. Vanden Berghe, I. Beck, K. De Bosscher, and G. Haegeman. The versatile role of msks in transcriptional regulation. Trends in biochemical sciences, 34 6:311-8, Jun 2009. URL: https://doi.org/10.1016/j.tibs.2009.02.007, doi:10.1016/j.tibs.2009.02.007. This article has 161 citations and is from a domain leading peer-reviewed journal.</w:t>
      </w:r>
    </w:p>
    <w:p>
      <w:pPr>
        <w:numPr>
          <w:ilvl w:val="0"/>
          <w:numId w:val="1001"/>
        </w:numPr>
      </w:pPr>
      <w:r>
        <w:t xml:space="preserve">(vermeulen2009theversatilerole pages 4-6): L. Vermeulen, W. Vanden Berghe, I. Beck, K. De Bosscher, and G. Haegeman. The versatile role of msks in transcriptional regulation. Trends in biochemical sciences, 34 6:311-8, Jun 2009. URL: https://doi.org/10.1016/j.tibs.2009.02.007, doi:10.1016/j.tibs.2009.02.007. This article has 161 citations and is from a domain leading peer-reviewed journal.</w:t>
      </w:r>
    </w:p>
    <w:p>
      <w:pPr>
        <w:numPr>
          <w:ilvl w:val="0"/>
          <w:numId w:val="1001"/>
        </w:numPr>
      </w:pPr>
      <w:r>
        <w:t xml:space="preserve">(wiggin2002msk1andmsk2 pages 1-2): Giselle R. Wiggin, Ana Soloaga, Julia M. Foster, Victoria Murray-Tait, Philip Cohen, and J. Simon C. Arthur. Msk1 and msk2 are required for the mitogen- and stress-induced phosphorylation of creb and atf1 in fibroblasts. Molecular and Cellular Biology, 22:2871-2881, Apr 2002. URL: https://doi.org/10.1128/mcb.22.8.2871-2881.2002, doi:10.1128/mcb.22.8.2871-2881.2002. This article has 544 citations and is from a domain leading peer-reviewed journal.</w:t>
      </w:r>
    </w:p>
    <w:p>
      <w:pPr>
        <w:numPr>
          <w:ilvl w:val="0"/>
          <w:numId w:val="1001"/>
        </w:numPr>
      </w:pPr>
      <w:r>
        <w:t xml:space="preserve">(deak1998mitogenandstressactivated pages 10-12): M. Deák, A. Clifton, John M. Lucocq, and D. Alessi. Mitogen- and stress-activated protein kinase-1 (msk1) is directly activated by mapk and sapk2/p38, and may mediate activationofcreb. The EMBO Journal, 17:4426-4441, Aug 1998. URL: https://doi.org/10.1093/emboj/17.15.4426, doi:10.1093/emboj/17.15.4426. This article has 1307 citations.</w:t>
      </w:r>
    </w:p>
    <w:p>
      <w:pPr>
        <w:numPr>
          <w:ilvl w:val="0"/>
          <w:numId w:val="1001"/>
        </w:numPr>
      </w:pPr>
      <w:r>
        <w:t xml:space="preserve">(naqvi2012characterizationofthe pages 4-5): S. Naqvi, A. Macdonald, C. McCoy, J. Darragh, A. Reith, and J. Arthur. Characterization of the cellular action of the msk inhibitor sb-747651a. The Biochemical journal, 441 1:347-57, 2012. URL: https://doi.org/10.1042/bj20110970, doi:10.1042/bj20110970. This article has 68 citations.</w:t>
      </w:r>
    </w:p>
    <w:p>
      <w:pPr>
        <w:numPr>
          <w:ilvl w:val="0"/>
          <w:numId w:val="1001"/>
        </w:numPr>
      </w:pPr>
      <w:r>
        <w:t xml:space="preserve">(unknownauthors2011identificationandcharacterization pages 109-114): Identification and Characterization of a Novel CK2-MSK2 Iinteraction in the UV Response</w:t>
      </w:r>
    </w:p>
    <w:p>
      <w:pPr>
        <w:numPr>
          <w:ilvl w:val="0"/>
          <w:numId w:val="1001"/>
        </w:numPr>
      </w:pPr>
      <w:r>
        <w:t xml:space="preserve">(vermeulen2009theversatilerole pages 1-2): L. Vermeulen, W. Vanden Berghe, I. Beck, K. De Bosscher, and G. Haegeman. The versatile role of msks in transcriptional regulation. Trends in biochemical sciences, 34 6:311-8, Jun 2009. URL: https://doi.org/10.1016/j.tibs.2009.02.007, doi:10.1016/j.tibs.2009.02.007. This article has 161 citations and is from a domain leading peer-reviewed journal.</w:t>
      </w:r>
    </w:p>
    <w:p>
      <w:pPr>
        <w:numPr>
          <w:ilvl w:val="0"/>
          <w:numId w:val="1001"/>
        </w:numPr>
      </w:pPr>
      <w:r>
        <w:t xml:space="preserve">(vermeulen2009theversatilerole pages 8-8): L. Vermeulen, W. Vanden Berghe, I. Beck, K. De Bosscher, and G. Haegeman. The versatile role of msks in transcriptional regulation. Trends in biochemical sciences, 34 6:311-8, Jun 2009. URL: https://doi.org/10.1016/j.tibs.2009.02.007, doi:10.1016/j.tibs.2009.02.007. This article has 161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2025-07-02T17:27:30Z</dcterms:created>
  <dcterms:modified xsi:type="dcterms:W3CDTF">2025-07-02T17:27:30Z</dcterms:modified>
</cp:coreProperties>
</file>

<file path=docProps/custom.xml><?xml version="1.0" encoding="utf-8"?>
<Properties xmlns="http://schemas.openxmlformats.org/officeDocument/2006/custom-properties" xmlns:vt="http://schemas.openxmlformats.org/officeDocument/2006/docPropsVTypes"/>
</file>