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• Member of the STE20 serine/threonine kinase superfamily, germinal-center kinase VI (GCK-VI; SPAK/OSR1) subfamily; SPAK (STK39) arose by vertebrate duplication of an ancestral Osr1 gene (delpire2008spakandosr1 pages 1-2).</w:t>
      </w:r>
      <w:r>
        <w:br/>
      </w:r>
      <w:r>
        <w:t xml:space="preserve">• Positioned on the STE20 branch of the human kinome in the Manning and Plowman maps (taylor2022cctandcctlike pages 1-2).</w:t>
      </w:r>
      <w:r>
        <w:br/>
      </w:r>
      <w:r>
        <w:t xml:space="preserve">• Invertebrate orthologs: Drosophila melanogaster Fray (74 % identity) and Caenorhabditis elegans Y59A8B.23/GCK-3 (71 %) (cusick2006identificationofrelt pages 6-8).</w:t>
      </w:r>
      <w:r>
        <w:br/>
      </w:r>
      <w:r>
        <w:t xml:space="preserve">• Plant Ste20-related kinases share 55–58 % catalytic-domain identity; yeast SPS1 and Kic1 cluster closest among fungal kinases (gagnon2012molecularphysiologyof pages 56-60).</w:t>
      </w:r>
      <w:r>
        <w:br/>
      </w:r>
      <w:r>
        <w:t xml:space="preserve">• Conserved vertebrate isoforms include Mus musculus Osr1 and Danio rerio osr1, maintaining the WNK–SPAK/OSR1 module across phyla (gagnon2012molecularphysiologyof pages 56-60).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protein-L-Ser/Thr ⇌ ADP + protein-L-Ser/Thr-phosphate (unknownauthors2009structuralanalysisof pages 47-52).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• Catalysis requires divalent cations; Mn²⁺ supports higher turnover than Mg²⁺ (gagnon2006characterizationofspak pages 1-2).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• Docking motif: C-terminal CCT domain binds RFxV/I sequences in WNK kinases and cation-chloride cotransporters (taylor2022cctandcctlike pages 8-10).</w:t>
      </w:r>
      <w:r>
        <w:br/>
      </w:r>
      <w:r>
        <w:t xml:space="preserve">• Variant RxFxV/I motif accommodated in Kir2.1 and Kir2.3 channels (taylor2018osr1regulatesa pages 1-2).</w:t>
      </w:r>
      <w:r>
        <w:br/>
      </w:r>
      <w:r>
        <w:t xml:space="preserve">• RELT family receptors engage via an RFRV motif and are phosphorylated by OSR1 (cusick2006identificationofrelt pages 6-8).</w:t>
      </w:r>
      <w:r>
        <w:br/>
      </w:r>
      <w:r>
        <w:t xml:space="preserve">• Profiling refines optimal docking to RxFxV/L with acidic flanks enhancing affinity (taylor2024predictiveandexperimental pages 44-46).</w:t>
      </w:r>
      <w:r>
        <w:br/>
      </w:r>
      <w:r>
        <w:t xml:space="preserve">• Catalytic consensus from substrate atlas: basic residues at −3/−2, Ser as preferred phosphoacceptor, hydrophobic residue at +1 (taylor2022cctandcctlike pages 42-44).</w:t>
      </w:r>
      <w:r>
        <w:br/>
      </w:r>
      <w:r>
        <w:t xml:space="preserve">• Physiological substrates include NKCC1/2, NCC, KCC2/3 and Kir2.x channels (unknownauthors2009structuralanalysisof pages 47-52, taylor2018osr1regulatesa pages 1-2).</w:t>
      </w:r>
    </w:p>
    <w:p>
      <w:pPr>
        <w:pStyle w:val="BodyText"/>
      </w:pPr>
      <w:r>
        <w:t xml:space="preserve">Structure</w:t>
      </w:r>
      <w:r>
        <w:br/>
      </w:r>
      <w:r>
        <w:t xml:space="preserve">• Domain layout: N-terminal kinase domain (residues 17–291) → serine-rich PF1 → C-terminal CCT/PF2 docking domain (unknownauthors2019exploringthepotential pages 41-47).</w:t>
      </w:r>
      <w:r>
        <w:br/>
      </w:r>
      <w:r>
        <w:t xml:space="preserve">• Kinase-domain crystal structure at 2.15 Å (PDB 2VWI) exhibits a canonical bilobal fold with bound AMP-PNP (villa2008structureofthe pages 1-2).</w:t>
      </w:r>
      <w:r>
        <w:br/>
      </w:r>
      <w:r>
        <w:t xml:space="preserve">• Catalytic Lys46-Glu63 ion pair, DFG183 motif, and regulatory Thr185 reside in the activation segment (villa2008structureofthe pages 2-4).</w:t>
      </w:r>
      <w:r>
        <w:br/>
      </w:r>
      <w:r>
        <w:t xml:space="preserve">• Activation-segment–swapped dimers position Thr185 for trans-autophosphorylation (villa2008structureofthe pages 2-4, taylor2015domainswappingswitchpoint pages 7-8).</w:t>
      </w:r>
      <w:r>
        <w:br/>
      </w:r>
      <w:r>
        <w:t xml:space="preserve">• Isolated CCT domain forms a four-stranded β-sheet flanked by two α-helices; peptide binding occurs via β-strand addition with minimal global rearrangement (taylor2022cctandcctlike pages 10-12).</w:t>
      </w:r>
      <w:r>
        <w:br/>
      </w:r>
      <w:r>
        <w:t xml:space="preserve">• SAXS data confirm inter-domain flexibility in full-length protein (villa2008structureofthe pages 2-4).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 modifications</w:t>
      </w:r>
      <w:r>
        <w:br/>
      </w:r>
      <w:r>
        <w:t xml:space="preserve">– Thr185: phosphorylated by WNK1-4; obligatory for activation (unknownauthors2011withnolysine pages 75-80).</w:t>
      </w:r>
      <w:r>
        <w:br/>
      </w:r>
      <w:r>
        <w:t xml:space="preserve">– Thr247: autophosphorylation increases maximal activity (unknownauthors2009structuralanalysisof pages 47-52).</w:t>
      </w:r>
      <w:r>
        <w:br/>
      </w:r>
      <w:r>
        <w:t xml:space="preserve">– Ser325 and Ser339 in PF1: WNK-dependent; modulate efficiency of Thr185 phosphorylation (unknownauthors2011withnolysine pages 48-53).</w:t>
      </w:r>
      <w:r>
        <w:br/>
      </w:r>
      <w:r>
        <w:t xml:space="preserve">– Minor sites Thr173/Thr178 also detected (unknownauthors2009structuralanalysisof pages 47-52).</w:t>
      </w:r>
    </w:p>
    <w:p>
      <w:pPr>
        <w:pStyle w:val="BodyText"/>
      </w:pPr>
      <w:r>
        <w:t xml:space="preserve">Allosteric and protein-interaction control</w:t>
      </w:r>
      <w:r>
        <w:br/>
      </w:r>
      <w:r>
        <w:t xml:space="preserve">• WNK kinases dock via RFxV motifs to deliver Thr185 phosphorylation (unknownauthors2011withnolysine pages 75-80).</w:t>
      </w:r>
      <w:r>
        <w:br/>
      </w:r>
      <w:r>
        <w:t xml:space="preserve">• MO25/CAB39 binds the kinase core, stabilising the active state (taylor2022cctandcctlike pages 8-10).</w:t>
      </w:r>
      <w:r>
        <w:br/>
      </w:r>
      <w:r>
        <w:t xml:space="preserve">• CCT domain exerts autoinhibition; its removal or peptide occupancy alters turnover (taylor2022cctandcctlike pages 19-20).</w:t>
      </w:r>
      <w:r>
        <w:br/>
      </w:r>
      <w:r>
        <w:t xml:space="preserve">• Activation-segment swapping dimerisation provides an additional regulatory layer (taylor2015domainswappingswitchpoint pages 7-8).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</w:t>
      </w:r>
      <w:r>
        <w:br/>
      </w:r>
      <w:r>
        <w:t xml:space="preserve">– High in spleen, heart, liver, lung and intestine; lower in kidney; absent in thymus; cytoplasmic and membrane localisation in renal epithelia (unknownauthors2019exploringthepotential pages 41-47).</w:t>
      </w:r>
      <w:r>
        <w:br/>
      </w:r>
      <w:r>
        <w:t xml:space="preserve">– Detected in brain, kidney distal nephron and other ion-transporting tissues (gagnon2006characterizationofspak pages 1-2).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• Terminal effector of the WNK-SPAK/OSR1 pathway; phosphorylates NKCC1, NKCC2, NCC, KCC2 and KCC3 to control cell volume and NaCl transport (unknownauthors2009structuralanalysisof pages 47-52).</w:t>
      </w:r>
      <w:r>
        <w:br/>
      </w:r>
      <w:r>
        <w:t xml:space="preserve">• Mediates regulatory volume increase during hyperosmotic stress downstream of WNK1/3 (delpire2008spakandosr1 pages 1-2).</w:t>
      </w:r>
      <w:r>
        <w:br/>
      </w:r>
      <w:r>
        <w:t xml:space="preserve">• Phosphorylates RELT, RELL1 and RELL2 receptors, linking to immune signalling (cusick2006identificationofrelt pages 6-8).</w:t>
      </w:r>
      <w:r>
        <w:br/>
      </w:r>
      <w:r>
        <w:t xml:space="preserve">• Enhances surface stability and conductance of Kir2.1/2.3 via RxFxV docking, partly independent of catalytic activity (taylor2018osr1regulatesa pages 1-2).</w:t>
      </w:r>
    </w:p>
    <w:p>
      <w:pPr>
        <w:pStyle w:val="BodyText"/>
      </w:pPr>
      <w:r>
        <w:t xml:space="preserve">Genetic evidence</w:t>
      </w:r>
      <w:r>
        <w:br/>
      </w:r>
      <w:r>
        <w:t xml:space="preserve">• Global Osr1 knockout or kinase-dead T185A knock-in in mice results in embryonic lethality at E10.5–13.5; kidney-specific deletion is viable for renal studies (gagnon2012molecularphysiologyof pages 7-9).</w:t>
      </w:r>
    </w:p>
    <w:p>
      <w:pPr>
        <w:pStyle w:val="BodyText"/>
      </w:pPr>
      <w:r>
        <w:t xml:space="preserve">Inhibitors</w:t>
      </w:r>
      <w:r>
        <w:br/>
      </w:r>
      <w:r>
        <w:t xml:space="preserve">• Broad-spectrum ATP-competitive inhibitors staurosporine and K252a suppress OSR1 activity in vitro (gagnon2006characterizationofspak pages 1-2).</w:t>
      </w:r>
      <w:r>
        <w:br/>
      </w:r>
      <w:r>
        <w:t xml:space="preserve">• CCT-targeted small molecules STOCK1S-50699 and ZT-1a block RFxV docking and inhibit OSR1/SPAK signalling (taylor2022cctandcctlike pages 42-44).</w:t>
      </w:r>
    </w:p>
    <w:p>
      <w:pPr>
        <w:pStyle w:val="BodyText"/>
      </w:pPr>
      <w:r>
        <w:t xml:space="preserve">Other Comments</w:t>
      </w:r>
      <w:r>
        <w:br/>
      </w:r>
      <w:r>
        <w:t xml:space="preserve">• Dysregulation of the WNK–OSR1–NCC axis underlies pseudohypoaldosteronism II and contributes to hypertension (unknownauthors2009structuralanalysisof pages 47-52, villa2008structureofthe pages 5-6).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(cusick2006identificationofrelt pages 6-8): John K. Cusick, Liang-Guo Xu, Liang-Hua Bin, Ke-jun Han, and H. Shu. Identification of relt homologues that associate with relt and are phosphorylated by osr1. Biochemical and biophysical research communications, 340 2:535-43, Feb 2006. URL: https://doi.org/10.1016/j.bbrc.2005.12.033, doi:10.1016/j.bbrc.2005.12.033. This article has 36 citations and is from a peer-reviewed journal.</w:t>
      </w:r>
    </w:p>
    <w:p>
      <w:pPr>
        <w:numPr>
          <w:ilvl w:val="0"/>
          <w:numId w:val="1001"/>
        </w:numPr>
      </w:pPr>
      <w:r>
        <w:t xml:space="preserve">(delpire2008spakandosr1 pages 1-2): E. Delpire and K. Gagnon. Spak and osr1: ste20 kinases involved in the regulation of ion homoeostasis and volume control in mammalian cells. The Biochemical journal, 409 2:321-31, Jan 2008. URL: https://doi.org/10.1042/bj20071324, doi:10.1042/bj20071324. This article has 248 citations.</w:t>
      </w:r>
    </w:p>
    <w:p>
      <w:pPr>
        <w:numPr>
          <w:ilvl w:val="0"/>
          <w:numId w:val="1001"/>
        </w:numPr>
      </w:pPr>
      <w:r>
        <w:t xml:space="preserve">(gagnon2006characterizationofspak pages 1-2): K. Gagnon, R. England, and E. Delpire. Characterization of spak and osr1, regulatory kinases of the na-k-2cl cotransporter. Molecular and Cellular Biology, 26:689-698, Jan 2006. URL: https://doi.org/10.1128/mcb.26.2.689-698.2006, doi:10.1128/mcb.26.2.689-698.2006. This article has 201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(gagnon2012molecularphysiologyof pages 7-9): Kenneth B. Gagnon and Eric Delpire. Molecular physiology of spak and osr1: two ste20-related protein kinases regulating ion transport. Physiological Reviews, 92:1577-1617, Oct 2012. URL: https://doi.org/10.1152/physrev.00009.2012, doi:10.1152/physrev.00009.2012. This article has 151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(taylor2018osr1regulatesa pages 1-2): Clinton A. Taylor, Sung‐Wan An, Sachith Gallolu Kankanamalage, S. Stippec, Svetlana A Earnest, Ashesh T Trivedi, Jonathan Z Yang, Hamid Mirzaei, Chou-Long Huang, and M. Cobb. Osr1 regulates a subset of inward rectifier potassium channels via a binding motif variant. Proceedings of the National Academy of Sciences, 115:3840-3845, Mar 2018. URL: https://doi.org/10.1073/pnas.1802339115, doi:10.1073/pnas.1802339115. This article has 27 citations.</w:t>
      </w:r>
    </w:p>
    <w:p>
      <w:pPr>
        <w:numPr>
          <w:ilvl w:val="0"/>
          <w:numId w:val="1001"/>
        </w:numPr>
      </w:pPr>
      <w:r>
        <w:t xml:space="preserve">(taylor2022cctandcctlike pages 1-2):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(taylor2022cctandcctlike pages 42-44):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(taylor2022cctandcctlike pages 8-10):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(taylor2024predictiveandexperimental pages 44-46): Clinton A. Taylor, Ji-Ung Jung, Sachith Gallolu Kankanamalage, Justin Li, Magdalena G Grzemska, Ankita B. Jaykumar, Svetlana A Earnest, S. Stippec, Purbita Saha, Eustolia Sauceda, and Melanie H. Cobb. Predictive and experimental motif interaction analysis identifies functions of the wnk-osr1/spak pathway. BioRxiv, Jun 2024. URL: https://doi.org/10.1101/2024.06.26.600905, doi:10.1101/2024.06.26.600905. This article has 4 citations.</w:t>
      </w:r>
    </w:p>
    <w:p>
      <w:pPr>
        <w:numPr>
          <w:ilvl w:val="0"/>
          <w:numId w:val="1001"/>
        </w:numPr>
      </w:pPr>
      <w:r>
        <w:t xml:space="preserve">(unknownauthors2009structuralanalysisof pages 47-52): Structural Analysis of STE20-Related Proline-Alanine-Rich Kinase (SPAK)</w:t>
      </w:r>
    </w:p>
    <w:p>
      <w:pPr>
        <w:numPr>
          <w:ilvl w:val="0"/>
          <w:numId w:val="1001"/>
        </w:numPr>
      </w:pPr>
      <w:r>
        <w:t xml:space="preserve">(unknownauthors2011withnolysine pages 75-80): With No Lysine (WNK) Family Proteins and Their Interaction with Downstream Kinases</w:t>
      </w:r>
    </w:p>
    <w:p>
      <w:pPr>
        <w:numPr>
          <w:ilvl w:val="0"/>
          <w:numId w:val="1001"/>
        </w:numPr>
      </w:pPr>
      <w:r>
        <w:t xml:space="preserve">(unknownauthors2019exploringthepotential pages 41-47): Exploring the potential signalling interplay between WNK-SPAK/OSR1 kinases and the β2-adrenergic receptor</w:t>
      </w:r>
    </w:p>
    <w:p>
      <w:pPr>
        <w:numPr>
          <w:ilvl w:val="0"/>
          <w:numId w:val="1001"/>
        </w:numPr>
      </w:pPr>
      <w:r>
        <w:t xml:space="preserve">(villa2008structureofthe pages 1-2): F. Villa, M. Deák, D. Alessi, and D. V. van Aalten. Structure of the osr1 kinase, a hypertension drug target. Proteins: Structure, Dec 2008. URL: https://doi.org/10.1002/prot.22238, doi:10.1002/prot.22238. This article has 48 citations.</w:t>
      </w:r>
    </w:p>
    <w:p>
      <w:pPr>
        <w:numPr>
          <w:ilvl w:val="0"/>
          <w:numId w:val="1001"/>
        </w:numPr>
      </w:pPr>
      <w:r>
        <w:t xml:space="preserve">(gagnon2012molecularphysiologyof pages 56-60): Kenneth B. Gagnon and Eric Delpire. Molecular physiology of spak and osr1: two ste20-related protein kinases regulating ion transport. Physiological Reviews, 92:1577-1617, Oct 2012. URL: https://doi.org/10.1152/physrev.00009.2012, doi:10.1152/physrev.00009.2012. This article has 151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(taylor2015domainswappingswitchpoint pages 7-8): Clinton A. Taylor, Yu-Chi Juang, Svetlana Earnest, Samarpita Sengupta, Elizabeth J. Goldsmith, and Melanie H. Cobb. Domain-swapping switch point in ste20 protein kinase spak. Biochemistry, 54:5063-5071, Aug 2015. URL: https://doi.org/10.1021/acs.biochem.5b00593, doi:10.1021/acs.biochem.5b00593. This article has 28 citations and is from a peer-reviewed journal.</w:t>
      </w:r>
    </w:p>
    <w:p>
      <w:pPr>
        <w:numPr>
          <w:ilvl w:val="0"/>
          <w:numId w:val="1001"/>
        </w:numPr>
      </w:pPr>
      <w:r>
        <w:t xml:space="preserve">(taylor2022cctandcctlike pages 10-12):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(unknownauthors2011withnolysine pages 48-53): With No Lysine (WNK) Family Proteins and Their Interaction with Downstream Kinases</w:t>
      </w:r>
    </w:p>
    <w:p>
      <w:pPr>
        <w:numPr>
          <w:ilvl w:val="0"/>
          <w:numId w:val="1001"/>
        </w:numPr>
      </w:pPr>
      <w:r>
        <w:t xml:space="preserve">(villa2008structureofthe pages 2-4): F. Villa, M. Deák, D. Alessi, and D. V. van Aalten. Structure of the osr1 kinase, a hypertension drug target. Proteins: Structure, Dec 2008. URL: https://doi.org/10.1002/prot.22238, doi:10.1002/prot.22238. This article has 48 citations.</w:t>
      </w:r>
    </w:p>
    <w:p>
      <w:pPr>
        <w:numPr>
          <w:ilvl w:val="0"/>
          <w:numId w:val="1001"/>
        </w:numPr>
      </w:pPr>
      <w:r>
        <w:t xml:space="preserve">(villa2008structureofthe pages 5-6): F. Villa, M. Deák, D. Alessi, and D. V. van Aalten. Structure of the osr1 kinase, a hypertension drug target. Proteins: Structure, Dec 2008. URL: https://doi.org/10.1002/prot.22238, doi:10.1002/prot.22238. This article has 48 citations.</w:t>
      </w:r>
    </w:p>
    <w:p>
      <w:pPr>
        <w:numPr>
          <w:ilvl w:val="0"/>
          <w:numId w:val="1001"/>
        </w:numPr>
      </w:pPr>
      <w:r>
        <w:t xml:space="preserve">(taylor2022cctandcctlike pages 19-20): Clinton A. Taylor and M. Cobb. Cct and cct-like modular protein interaction domains in wnk signaling. Molecular Pharmacology, 101:201-212, Jul 2022. URL: https://doi.org/10.1124/molpharm.121.000307, doi:10.1124/molpharm.121.000307. This article has 15 citations and is from a domain leading peer-reviewed journal.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2025-07-02T17:26:59Z</dcterms:created>
  <dcterms:modified xsi:type="dcterms:W3CDTF">2025-07-02T17:26:59Z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