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Compact"/>
        <w:numPr>
          <w:ilvl w:val="0"/>
          <w:numId w:val="1001"/>
        </w:numPr>
      </w:pPr>
      <w:r>
        <w:t xml:space="preserve">Human ABL1 is a non-receptor tyrosine kinase in the Abl subfamily defined by a conserved SH3–SH2–TK cassette (georgoulia2019thecatalyticactivity pages 10-10).</w:t>
      </w:r>
      <w:r>
        <w:br/>
      </w:r>
    </w:p>
    <w:p>
      <w:pPr>
        <w:pStyle w:val="Compact"/>
        <w:numPr>
          <w:ilvl w:val="0"/>
          <w:numId w:val="1001"/>
        </w:numPr>
      </w:pPr>
      <w:r>
        <w:t xml:space="preserve">A vertebrate paralog, ABL2 (ARG), emerged from an ancestral gene-duplication event (colicelli2010abltyrosinekinases pages 1-2).</w:t>
      </w:r>
      <w:r>
        <w:br/>
      </w:r>
    </w:p>
    <w:p>
      <w:pPr>
        <w:pStyle w:val="Compact"/>
        <w:numPr>
          <w:ilvl w:val="0"/>
          <w:numId w:val="1001"/>
        </w:numPr>
      </w:pPr>
      <w:r>
        <w:t xml:space="preserve">Experimentally annotated orthologs include Mus musculus Abl1, Danio rerio abl, Xenopus laevis abl, Drosophila melanogaster Abl, Strongylocentrotus purpuratus Abl and Monosiga brevicollis Abl (colicelli2010abltyrosinekinases pages 10-12).</w:t>
      </w:r>
    </w:p>
    <w:bookmarkEnd w:id="9"/>
    <w:bookmarkStart w:id="10" w:name="reaction-catalyzed"/>
    <w:p>
      <w:pPr>
        <w:pStyle w:val="Heading2"/>
      </w:pPr>
      <w:r>
        <w:t xml:space="preserve">Reaction Catalyzed</w:t>
      </w:r>
    </w:p>
    <w:p>
      <w:pPr>
        <w:pStyle w:val="Compact"/>
        <w:numPr>
          <w:ilvl w:val="0"/>
          <w:numId w:val="1002"/>
        </w:numPr>
      </w:pPr>
      <w:r>
        <w:t xml:space="preserve">ATP + protein-L-tyrosine ⇌ ADP + protein-L-tyrosine-O-phosphate (georgoulia2019thecatalyticactivity pages 10-10).</w:t>
      </w:r>
    </w:p>
    <w:bookmarkEnd w:id="10"/>
    <w:bookmarkStart w:id="11" w:name="cofactor-requirements"/>
    <w:p>
      <w:pPr>
        <w:pStyle w:val="Heading2"/>
      </w:pPr>
      <w:r>
        <w:t xml:space="preserve">Cofactor Requirements</w:t>
      </w:r>
    </w:p>
    <w:p>
      <w:pPr>
        <w:pStyle w:val="Compact"/>
        <w:numPr>
          <w:ilvl w:val="0"/>
          <w:numId w:val="1003"/>
        </w:numPr>
      </w:pPr>
      <w:r>
        <w:t xml:space="preserve">Catalytic activity requires Mg²⁺; Mn²⁺ can substitute with reduced efficiency (georgoulia2019thecatalyticactivity pages 10-10).</w:t>
      </w:r>
    </w:p>
    <w:bookmarkEnd w:id="11"/>
    <w:bookmarkStart w:id="12" w:name="substrate-specificity"/>
    <w:p>
      <w:pPr>
        <w:pStyle w:val="Heading2"/>
      </w:pPr>
      <w:r>
        <w:t xml:space="preserve">Substrate Specificity</w:t>
      </w:r>
    </w:p>
    <w:p>
      <w:pPr>
        <w:pStyle w:val="Compact"/>
        <w:numPr>
          <w:ilvl w:val="0"/>
          <w:numId w:val="1004"/>
        </w:numPr>
      </w:pPr>
      <w:r>
        <w:t xml:space="preserve">Preferred consensus motif: Φ-x-Y-x-x-P with a hydrophobic residue at −1 and Pro at +3 (yaronbarir2024theintrinsicsubstrate pages 1-2).</w:t>
      </w:r>
      <w:r>
        <w:br/>
      </w:r>
    </w:p>
    <w:p>
      <w:pPr>
        <w:pStyle w:val="Compact"/>
        <w:numPr>
          <w:ilvl w:val="0"/>
          <w:numId w:val="1004"/>
        </w:numPr>
      </w:pPr>
      <w:r>
        <w:t xml:space="preserve">Acidic residues at +1/+2 further enhance phosphorylation efficiency (colicelli2010abltyrosinekinases pages 5-7).</w:t>
      </w:r>
    </w:p>
    <w:bookmarkEnd w:id="12"/>
    <w:bookmarkStart w:id="13" w:name="structure"/>
    <w:p>
      <w:pPr>
        <w:pStyle w:val="Heading2"/>
      </w:pPr>
      <w:r>
        <w:t xml:space="preserve">Structure</w:t>
      </w:r>
    </w:p>
    <w:p>
      <w:pPr>
        <w:pStyle w:val="Compact"/>
        <w:numPr>
          <w:ilvl w:val="0"/>
          <w:numId w:val="1005"/>
        </w:numPr>
      </w:pPr>
      <w:r>
        <w:t xml:space="preserve">Isoform 1b organization: N-Cap with Gly2 myristoylation, SH3, SH2, kinase domain, three NLS, one NES, DNA-binding region and C-terminal F-actin/microtubule binding modules (colicelli2010abltyrosinekinases pages 4-5).</w:t>
      </w:r>
      <w:r>
        <w:br/>
      </w:r>
    </w:p>
    <w:p>
      <w:pPr>
        <w:pStyle w:val="Compact"/>
        <w:numPr>
          <w:ilvl w:val="0"/>
          <w:numId w:val="1005"/>
        </w:numPr>
      </w:pPr>
      <w:r>
        <w:t xml:space="preserve">Autoinhibition is enforced by myristate insertion into a C-lobe pocket and an SH3–SH2 clamp over the kinase N-lobe (georgoulia2019thecatalyticactivity pages 10-10).</w:t>
      </w:r>
      <w:r>
        <w:br/>
      </w:r>
    </w:p>
    <w:p>
      <w:pPr>
        <w:pStyle w:val="Compact"/>
        <w:numPr>
          <w:ilvl w:val="0"/>
          <w:numId w:val="1005"/>
        </w:numPr>
      </w:pPr>
      <w:r>
        <w:t xml:space="preserve">Crystal structures (PDB 1OPK, 2FO0, 4WA9) define the SH2–kinase interface, activation-loop Tyr412, αC helix and hydrophobic spine that govern active/inactive states (tse2015moleculardeterminantsunderlying pages 35-36).</w:t>
      </w:r>
      <w:r>
        <w:br/>
      </w:r>
    </w:p>
    <w:p>
      <w:pPr>
        <w:pStyle w:val="Compact"/>
        <w:numPr>
          <w:ilvl w:val="0"/>
          <w:numId w:val="1005"/>
        </w:numPr>
      </w:pPr>
      <w:r>
        <w:t xml:space="preserve">The myristoyl pocket persists in BCR-ABL1 and is exploited by the allosteric inhibitor asciminib (manley2020thespecificityof pages 1-6).</w:t>
      </w:r>
    </w:p>
    <w:bookmarkEnd w:id="13"/>
    <w:bookmarkStart w:id="14" w:name="regulation"/>
    <w:p>
      <w:pPr>
        <w:pStyle w:val="Heading2"/>
      </w:pPr>
      <w:r>
        <w:t xml:space="preserve">Regulation</w:t>
      </w:r>
    </w:p>
    <w:p>
      <w:pPr>
        <w:pStyle w:val="Compact"/>
        <w:numPr>
          <w:ilvl w:val="0"/>
          <w:numId w:val="1006"/>
        </w:numPr>
      </w:pPr>
      <w:r>
        <w:t xml:space="preserve">Autophosphorylation of Tyr412 (activation loop) and Tyr245 (SH2-kinase linker) stabilizes the active conformation (georgoulia2019thecatalyticactivity pages 10-10).</w:t>
      </w:r>
      <w:r>
        <w:br/>
      </w:r>
    </w:p>
    <w:p>
      <w:pPr>
        <w:pStyle w:val="Compact"/>
        <w:numPr>
          <w:ilvl w:val="0"/>
          <w:numId w:val="1006"/>
        </w:numPr>
      </w:pPr>
      <w:r>
        <w:t xml:space="preserve">Phosphorylation of Tyr89 within SH3 disrupts the SH3-linker interaction, promoting activation (colicelli2010abltyrosinekinases pages 4-5).</w:t>
      </w:r>
      <w:r>
        <w:br/>
      </w:r>
    </w:p>
    <w:p>
      <w:pPr>
        <w:pStyle w:val="Compact"/>
        <w:numPr>
          <w:ilvl w:val="0"/>
          <w:numId w:val="1006"/>
        </w:numPr>
      </w:pPr>
      <w:r>
        <w:t xml:space="preserve">Ser569 and Thr735 phosphorylation create 14-3-3 docking sites that bias cytoplasmic localization (colicelli2010abltyrosinekinases pages 4-5).</w:t>
      </w:r>
      <w:r>
        <w:br/>
      </w:r>
    </w:p>
    <w:p>
      <w:pPr>
        <w:pStyle w:val="Compact"/>
        <w:numPr>
          <w:ilvl w:val="0"/>
          <w:numId w:val="1006"/>
        </w:numPr>
      </w:pPr>
      <w:r>
        <w:t xml:space="preserve">N-terminal myristoylation at Gly2 maintains autoinhibition; loss or displacement activates the kinase (colicelli2010abltyrosinekinases pages 2-4).</w:t>
      </w:r>
      <w:r>
        <w:br/>
      </w:r>
    </w:p>
    <w:p>
      <w:pPr>
        <w:pStyle w:val="Compact"/>
        <w:numPr>
          <w:ilvl w:val="0"/>
          <w:numId w:val="1006"/>
        </w:numPr>
      </w:pPr>
      <w:r>
        <w:t xml:space="preserve">Active ABL1 is polyubiquitinated by CBL, targeting it for degradation (colicelli2010abltyrosinekinases pages 5-7).</w:t>
      </w:r>
      <w:r>
        <w:br/>
      </w:r>
    </w:p>
    <w:p>
      <w:pPr>
        <w:pStyle w:val="Compact"/>
        <w:numPr>
          <w:ilvl w:val="0"/>
          <w:numId w:val="1006"/>
        </w:numPr>
      </w:pPr>
      <w:r>
        <w:t xml:space="preserve">SRC-family kinases phosphorylate ABL1, establishing a positive feedback loop in cytoskeletal signaling (colicelli2010abltyrosinekinases pages 10-12).</w:t>
      </w:r>
    </w:p>
    <w:bookmarkEnd w:id="14"/>
    <w:bookmarkStart w:id="15" w:name="function"/>
    <w:p>
      <w:pPr>
        <w:pStyle w:val="Heading2"/>
      </w:pPr>
      <w:r>
        <w:t xml:space="preserve">Function</w:t>
      </w:r>
    </w:p>
    <w:p>
      <w:pPr>
        <w:pStyle w:val="Compact"/>
        <w:numPr>
          <w:ilvl w:val="0"/>
          <w:numId w:val="1007"/>
        </w:numPr>
      </w:pPr>
      <w:r>
        <w:t xml:space="preserve">GTEx profiles show ubiquitous expression with highest levels in hematopoietic, neural and testicular tissues (georgoulia2019thecatalyticactivity pages 10-10).</w:t>
      </w:r>
      <w:r>
        <w:br/>
      </w:r>
    </w:p>
    <w:p>
      <w:pPr>
        <w:pStyle w:val="Compact"/>
        <w:numPr>
          <w:ilvl w:val="0"/>
          <w:numId w:val="1007"/>
        </w:numPr>
      </w:pPr>
      <w:r>
        <w:t xml:space="preserve">Cytoskeletal remodeling is driven by phosphorylation of WASF3, ANXA1, DBN1, DBNL, CTTN, RAPH1, ENAH, MAPT and PXN (colicelli2010abltyrosinekinases pages 10-12).</w:t>
      </w:r>
      <w:r>
        <w:br/>
      </w:r>
    </w:p>
    <w:p>
      <w:pPr>
        <w:pStyle w:val="Compact"/>
        <w:numPr>
          <w:ilvl w:val="0"/>
          <w:numId w:val="1007"/>
        </w:numPr>
      </w:pPr>
      <w:r>
        <w:t xml:space="preserve">Adhesion and motility are regulated via BCAR1, CRK, CRKL, DOK1, EFS and NEDD9 phosphorylation (colicelli2010abltyrosinekinases pages 10-12).</w:t>
      </w:r>
      <w:r>
        <w:br/>
      </w:r>
    </w:p>
    <w:p>
      <w:pPr>
        <w:pStyle w:val="Compact"/>
        <w:numPr>
          <w:ilvl w:val="0"/>
          <w:numId w:val="1007"/>
        </w:numPr>
      </w:pPr>
      <w:r>
        <w:t xml:space="preserve">Endocytosis of EGFR, ERBB2, MET and related regulators is promoted by ABL1 phosphorylation of CAV1, RIN1 and ITSN2 (colicelli2010abltyrosinekinases pages 10-12).</w:t>
      </w:r>
      <w:r>
        <w:br/>
      </w:r>
    </w:p>
    <w:p>
      <w:pPr>
        <w:pStyle w:val="Compact"/>
        <w:numPr>
          <w:ilvl w:val="0"/>
          <w:numId w:val="1007"/>
        </w:numPr>
      </w:pPr>
      <w:r>
        <w:t xml:space="preserve">Upon DNA damage ABL1 enters the nucleus and cooperates with ATM and RAD51 to enforce arrest or apoptosis (colicelli2010abltyrosinekinases pages 10-12).</w:t>
      </w:r>
      <w:r>
        <w:br/>
      </w:r>
    </w:p>
    <w:p>
      <w:pPr>
        <w:pStyle w:val="Compact"/>
        <w:numPr>
          <w:ilvl w:val="0"/>
          <w:numId w:val="1007"/>
        </w:numPr>
      </w:pPr>
      <w:r>
        <w:t xml:space="preserve">ABL1 integrates RAS-MAPK, PI3K-AKT and DNA-damage response pathways (georgoulia2019thecatalyticactivity pages 10-10, greuber2013roleofabl pages 14-15).</w:t>
      </w:r>
    </w:p>
    <w:bookmarkEnd w:id="15"/>
    <w:bookmarkStart w:id="16" w:name="inhibitors"/>
    <w:p>
      <w:pPr>
        <w:pStyle w:val="Heading2"/>
      </w:pPr>
      <w:r>
        <w:t xml:space="preserve">Inhibitors</w:t>
      </w:r>
    </w:p>
    <w:p>
      <w:pPr>
        <w:pStyle w:val="Compact"/>
        <w:numPr>
          <w:ilvl w:val="0"/>
          <w:numId w:val="1008"/>
        </w:numPr>
      </w:pPr>
      <w:r>
        <w:t xml:space="preserve">Approved ATP-competitive inhibitors: imatinib, nilotinib, dasatinib, bosutinib and ponatinib (georgoulia2019thecatalyticactivity pages 10-10).</w:t>
      </w:r>
      <w:r>
        <w:br/>
      </w:r>
    </w:p>
    <w:p>
      <w:pPr>
        <w:pStyle w:val="Compact"/>
        <w:numPr>
          <w:ilvl w:val="0"/>
          <w:numId w:val="1008"/>
        </w:numPr>
      </w:pPr>
      <w:r>
        <w:t xml:space="preserve">Asciminib is an allosteric inhibitor that binds the myristoyl pocket and remains active against T315I; it can form ternary complexes with ATP-site inhibitors (manley2020thespecificityof pages 1-6).</w:t>
      </w:r>
    </w:p>
    <w:bookmarkEnd w:id="16"/>
    <w:bookmarkStart w:id="17" w:name="other-comments"/>
    <w:p>
      <w:pPr>
        <w:pStyle w:val="Heading2"/>
      </w:pPr>
      <w:r>
        <w:t xml:space="preserve">Other Comments</w:t>
      </w:r>
    </w:p>
    <w:p>
      <w:pPr>
        <w:pStyle w:val="Compact"/>
        <w:numPr>
          <w:ilvl w:val="0"/>
          <w:numId w:val="1009"/>
        </w:numPr>
      </w:pPr>
      <w:r>
        <w:t xml:space="preserve">Oncogenic fusions BCR-ABL1 (p210, p190) and NUP214-ABL1 remove the N-Cap, abolishing myristoyl autoinhibition and yielding constitutive kinase activity that drives leukemia (colicelli2010abltyrosinekinases pages 12-13).</w:t>
      </w:r>
      <w:r>
        <w:br/>
      </w:r>
    </w:p>
    <w:p>
      <w:pPr>
        <w:pStyle w:val="Compact"/>
        <w:numPr>
          <w:ilvl w:val="0"/>
          <w:numId w:val="1009"/>
        </w:numPr>
      </w:pPr>
      <w:r>
        <w:t xml:space="preserve">Resistance hotspots to ATP-site inhibitors include T315I, E255K and Y253H (georgoulia2019thecatalyticactivity pages 10-10).</w:t>
      </w:r>
      <w:r>
        <w:br/>
      </w:r>
    </w:p>
    <w:p>
      <w:pPr>
        <w:pStyle w:val="Compact"/>
        <w:numPr>
          <w:ilvl w:val="0"/>
          <w:numId w:val="1009"/>
        </w:numPr>
      </w:pPr>
      <w:r>
        <w:t xml:space="preserve">Germline variants K290N and Y245C are linked to congenital heart defects and perturb kinase function (georgoulia2019thecatalyticactivity pages 10-10).</w:t>
      </w:r>
    </w:p>
    <w:p>
      <w:pPr>
        <w:pStyle w:val="FirstParagraph"/>
      </w:pPr>
      <w:r>
        <w:t xml:space="preserve">References</w:t>
      </w:r>
    </w:p>
    <w:p>
      <w:pPr>
        <w:numPr>
          <w:ilvl w:val="0"/>
          <w:numId w:val="1010"/>
        </w:numPr>
      </w:pPr>
      <w:r>
        <w:t xml:space="preserve">(colicelli2010abltyrosinekinases pages 10-12):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10"/>
        </w:numPr>
      </w:pPr>
      <w:r>
        <w:t xml:space="preserve">(colicelli2010abltyrosinekinases pages 4-5):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10"/>
        </w:numPr>
      </w:pPr>
      <w:r>
        <w:t xml:space="preserve">(georgoulia2019thecatalyticactivity pages 10-10): Panagiota S. Georgoulia, G. Todde, S. Bjelic, and Ran Friedman. The catalytic activity of abl1 single and compound mutations: implications for the mechanism of drug resistance mutations in chronic myeloid leukaemia. Biochimica et biophysica acta. General subjects, 1863 4:732-741, Apr 2019. URL: https://doi.org/10.1016/j.bbagen.2019.01.011, doi:10.1016/j.bbagen.2019.01.011. This article has 27 citations.</w:t>
      </w:r>
    </w:p>
    <w:p>
      <w:pPr>
        <w:numPr>
          <w:ilvl w:val="0"/>
          <w:numId w:val="1010"/>
        </w:numPr>
      </w:pPr>
      <w:r>
        <w:t xml:space="preserve">(greuber2013roleofabl pages 14-15): Emileigh K. Greuber, Pameeka Smith-Pearson, Jun Wang, and Ann Marie Pendergast. Role of abl family kinases in cancer: from leukaemia to solid tumours. Nature Reviews Cancer, 13:559-571, Jul 2013. URL: https://doi.org/10.1038/nrc3563, doi:10.1038/nrc3563. This article has 585 citations and is from a domain leading peer-reviewed journal.</w:t>
      </w:r>
    </w:p>
    <w:p>
      <w:pPr>
        <w:numPr>
          <w:ilvl w:val="0"/>
          <w:numId w:val="1010"/>
        </w:numPr>
      </w:pPr>
      <w:r>
        <w:t xml:space="preserve">(tse2015moleculardeterminantsunderlying pages 35-36):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39 citations and is from a peer-reviewed journal.</w:t>
      </w:r>
    </w:p>
    <w:p>
      <w:pPr>
        <w:numPr>
          <w:ilvl w:val="0"/>
          <w:numId w:val="1010"/>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10"/>
        </w:numPr>
      </w:pPr>
      <w:r>
        <w:t xml:space="preserve">(colicelli2010abltyrosinekinases pages 12-13):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10"/>
        </w:numPr>
      </w:pPr>
      <w:r>
        <w:t xml:space="preserve">(colicelli2010abltyrosinekinases pages 2-4):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10"/>
        </w:numPr>
      </w:pPr>
      <w:r>
        <w:t xml:space="preserve">(colicelli2010abltyrosinekinases pages 5-7): John Colicelli. Abl tyrosine kinases: evolution of function, regulation, and specificity. Science Signaling, 3:re6-re6, Sep 2010. URL: https://doi.org/10.1126/scisignal.3139re6, doi:10.1126/scisignal.3139re6. This article has 451 citations and is from a domain leading peer-reviewed journal.</w:t>
      </w:r>
    </w:p>
    <w:p>
      <w:pPr>
        <w:numPr>
          <w:ilvl w:val="0"/>
          <w:numId w:val="1010"/>
        </w:numPr>
      </w:pPr>
      <w:r>
        <w:t xml:space="preserve">(manley2020thespecificityof pages 1-6): P. Manley, Louise Barys, and S. Cowan-Jacob. The specificity of asciminib, a potential treatment for chronic myeloid leukemia, as a myristate-pocket binding abl inhibitor and analysis of its interactions with mutant forms of bcr-abl1 kinase. Leukemia research, 98:106458, Sep 2020. URL: https://doi.org/10.1016/j.leukres.2020.106458, doi:10.1016/j.leukres.2020.106458. This article has 152 citations and is from a peer-reviewed journal.</w:t>
      </w:r>
    </w:p>
    <w:p>
      <w:pPr>
        <w:numPr>
          <w:ilvl w:val="0"/>
          <w:numId w:val="1010"/>
        </w:numPr>
      </w:pPr>
      <w:r>
        <w:t xml:space="preserve">(colicelli2010abltyrosinekinases pages 1-2): John Colicelli. Abl tyrosine kinases: evolution of function, regulation, and specificity. Science Signaling, 3:re6-re6, Sep 2010. URL: https://doi.org/10.1126/scisignal.3139re6, doi:10.1126/scisignal.3139re6. This article has 451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