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 Orthologous proteins are reported in Bos taurus (73 % identity), Mus musculus, Xenopus laevis and Macaca mulatta, indicating broad vertebrate conservation (hanna2020developmentofwee2 pages 7-8, nozawa2023oocytespecificwee1likeprotein pages 1-2, han2006newpathwaysfrom pages 1-2, nozawa2023oocytespecificwee1likeprotein pages 12-13).</w:t>
      </w:r>
      <w:r>
        <w:br/>
      </w:r>
      <w:r>
        <w:t xml:space="preserve">• WEE2 belongs to the WEE kinase family within the CMGC group of the human kinome, together with WEE1 and PKMYT1 (hanna2020developmentofwee2 pages 5-6).</w:t>
      </w:r>
      <w:r>
        <w:br/>
      </w:r>
      <w:r>
        <w:t xml:space="preserve">• The WEE2 and WEE1 catalytic domains are nearly identical except for a D386A substitution in the solvent-exposed specificity pocket (hanna2020developmentofwee2 pages 5-5).</w:t>
      </w:r>
    </w:p>
    <w:p>
      <w:pPr>
        <w:pStyle w:val="BodyText"/>
      </w:pPr>
      <w:r>
        <w:t xml:space="preserve">Reaction Catalyzed</w:t>
      </w:r>
      <w:r>
        <w:br/>
      </w:r>
      <w:r>
        <w:t xml:space="preserve">• ATP + CDK1(Tyr15) → ADP + CDK1(pTyr15) (hanna2020developmentofwee2 pages 2-3).</w:t>
      </w:r>
    </w:p>
    <w:p>
      <w:pPr>
        <w:pStyle w:val="BodyText"/>
      </w:pPr>
      <w:r>
        <w:t xml:space="preserve">Cofactor Requirements</w:t>
      </w:r>
      <w:r>
        <w:br/>
      </w:r>
      <w:r>
        <w:t xml:space="preserve">• Specific divalent-cation dependence has not been reported for human WEE2 in the available enzymatic studies (hanna2020developmentofwee2 pages 2-3).</w:t>
      </w:r>
    </w:p>
    <w:p>
      <w:pPr>
        <w:pStyle w:val="BodyText"/>
      </w:pPr>
      <w:r>
        <w:t xml:space="preserve">Substrate Specificity</w:t>
      </w:r>
      <w:r>
        <w:br/>
      </w:r>
      <w:r>
        <w:t xml:space="preserve">• Proven physiological substrate: CDK1 phosphorylated on Tyr15 (hanna2020developmentofwee2 pages 2-3).</w:t>
      </w:r>
      <w:r>
        <w:br/>
      </w:r>
      <w:r>
        <w:t xml:space="preserve">• The 2024 tyrosine-kinome atlas clusters WEE2 among dual-specificity kinases but does not define a unique consensus peptide motif (yaronbarir2024theintrinsicsubstrate pages 2-3).</w:t>
      </w:r>
    </w:p>
    <w:p>
      <w:pPr>
        <w:pStyle w:val="BodyText"/>
      </w:pPr>
      <w:r>
        <w:t xml:space="preserve">Structure</w:t>
      </w:r>
      <w:r>
        <w:br/>
      </w:r>
      <w:r>
        <w:t xml:space="preserve">• The protein comprises an N-terminal regulatory segment followed by a canonical bilobal kinase domain characteristic of WEE family members (hanna2020developmentofwee2 pages 5-5).</w:t>
      </w:r>
      <w:r>
        <w:br/>
      </w:r>
      <w:r>
        <w:t xml:space="preserve">• Crystal analysis shows a closed P-loop conformation and the unique D386A residue in the specificity pocket, distinguishing WEE2 from WEE1 (hanna2020developmentofwee2 pages 5-5).</w:t>
      </w:r>
      <w:r>
        <w:br/>
      </w:r>
      <w:r>
        <w:t xml:space="preserve">• An extended acidic loop preceding the DLG motif and a single PEST degradation site further differentiate WEE2 from WEE1 and PKMYT1 (hanna2020developmentofwee2 pages 5-6).</w:t>
      </w:r>
      <w:r>
        <w:br/>
      </w:r>
      <w:r>
        <w:t xml:space="preserve">• Crystal structures reveal conserved VAIK, HRD and DFG motifs forming the catalytic core and supporting canonical kinase architecture (hanna2020developmentofwee2 pages 5-5).</w:t>
      </w:r>
    </w:p>
    <w:p>
      <w:pPr>
        <w:pStyle w:val="BodyText"/>
      </w:pPr>
      <w:r>
        <w:t xml:space="preserve">Regulation</w:t>
      </w:r>
      <w:r>
        <w:br/>
      </w:r>
      <w:r>
        <w:t xml:space="preserve">• PKA-dependent phosphorylation during prophase I augments WEE2 activity to sustain germinal-vesicle arrest (han2006newpathwaysfrom pages 2-3).</w:t>
      </w:r>
      <w:r>
        <w:br/>
      </w:r>
      <w:r>
        <w:t xml:space="preserve">• Fertilization-induced Ca²⁺ oscillations activate CaMKII, which phosphorylates WEE2 to inactivate MPF and allow metaphase II exit (nozawa2023oocytespecificwee1likeprotein pages 1-2).</w:t>
      </w:r>
      <w:r>
        <w:br/>
      </w:r>
      <w:r>
        <w:t xml:space="preserve">• CDK1 and Polo-like kinase phosphorylations promote WEE2 down-regulation followed by SCF-mediated ubiquitination (han2006newpathwaysfrom pages 2-3).</w:t>
      </w:r>
      <w:r>
        <w:br/>
      </w:r>
      <w:r>
        <w:t xml:space="preserve">• During prophase I WEE2 is sequestered in the germinal vesicle and redistributes when meiosis resumes (hanna2020developmentofwee2 pages 3-4).</w:t>
      </w:r>
      <w:r>
        <w:br/>
      </w:r>
      <w:r>
        <w:t xml:space="preserve">• Small-molecule binding to an allosteric pocket stabilizes an inactive conformation of full-length WEE2 (hanna2020developmentofwee2 pages 5-6).</w:t>
      </w:r>
    </w:p>
    <w:p>
      <w:pPr>
        <w:pStyle w:val="BodyText"/>
      </w:pPr>
      <w:r>
        <w:t xml:space="preserve">Function</w:t>
      </w:r>
      <w:r>
        <w:br/>
      </w:r>
      <w:r>
        <w:t xml:space="preserve">• Expression is restricted to oocytes and zygotes with negligible somatic expression (hanna2020developmentofwee2 pages 1-2).</w:t>
      </w:r>
      <w:r>
        <w:br/>
      </w:r>
      <w:r>
        <w:t xml:space="preserve">• WEE2 phosphorylates CDK1 Tyr15 to keep MPF inactive and maintain germinal-vesicle arrest during dictyate prophase I (hanna2020developmentofwee2 pages 2-3).</w:t>
      </w:r>
      <w:r>
        <w:br/>
      </w:r>
      <w:r>
        <w:t xml:space="preserve">• CDC25B antagonizes WEE2 after the LH surge to permit meiosis I entry, whereas CaMKII-reactivated WEE2 at fertilization ensures pronuclear formation (hanna2020developmentofwee2 pages 3-4).</w:t>
      </w:r>
      <w:r>
        <w:br/>
      </w:r>
      <w:r>
        <w:t xml:space="preserve">• Upstream regulators include PKA, CaMKII, CDK1 and Polo-like kinase; the primary downstream effector is the CDK1/cyclin B complex (han2006newpathwaysfrom pages 2-3).</w:t>
      </w:r>
      <w:r>
        <w:br/>
      </w:r>
      <w:r>
        <w:t xml:space="preserve">• Functional redundancy with WEE1 and MYT1 mitigates the impact of Wee2 deletion on mouse fertility (nozawa2023oocytespecificwee1likeprotein pages 6-8).</w:t>
      </w:r>
    </w:p>
    <w:p>
      <w:pPr>
        <w:pStyle w:val="BodyText"/>
      </w:pPr>
      <w:r>
        <w:t xml:space="preserve">Inhibitors</w:t>
      </w:r>
      <w:r>
        <w:br/>
      </w:r>
      <w:r>
        <w:t xml:space="preserve">• MK-1775 (Adavosertib) is a type I ATP-competitive inhibitor that blocks both WEE2 and WEE1 activity (hanna2020developmentofwee2 pages 8-9).</w:t>
      </w:r>
      <w:r>
        <w:br/>
      </w:r>
      <w:r>
        <w:t xml:space="preserve">• GPHR-00336382 binds an allosteric pocket on full-length WEE2 with low-micromolar IC₅₀ (hanna2020developmentofwee2 pages 1-2).</w:t>
      </w:r>
      <w:r>
        <w:br/>
      </w:r>
      <w:r>
        <w:t xml:space="preserve">• GPHR-00355672 targets the isolated kinase domain, exhibiting selective inhibition at low-micromolar potency (hanna2020developmentofwee2 pages 6-7).</w:t>
      </w:r>
    </w:p>
    <w:p>
      <w:pPr>
        <w:pStyle w:val="BodyText"/>
      </w:pPr>
      <w:r>
        <w:t xml:space="preserve">Other Comments</w:t>
      </w:r>
      <w:r>
        <w:br/>
      </w:r>
      <w:r>
        <w:t xml:space="preserve">• Loss-of-function variants such as p.Asp380Leufs</w:t>
      </w:r>
      <w:r>
        <w:rPr>
          <w:i/>
          <w:iCs/>
        </w:rPr>
        <w:t xml:space="preserve">, p.Arg200Ter and p.His337Tyrfs</w:t>
      </w:r>
      <w:r>
        <w:t xml:space="preserve"> </w:t>
      </w:r>
      <w:r>
        <w:t xml:space="preserve">cause total fertilization failure in women while leaving menstrual cycles intact (hanna2020developmentofwee2 pages 4-5).</w:t>
      </w:r>
      <w:r>
        <w:br/>
      </w:r>
      <w:r>
        <w:t xml:space="preserve">• Wee2-null female mice show normal ovulation yet a modest reduction in litter size, underscoring species-specific redundancy (nozawa2023oocytespecificwee1likeprotein pages 6-8).</w:t>
      </w:r>
      <w:r>
        <w:br/>
      </w:r>
      <w:r>
        <w:t xml:space="preserve">• Selective pharmacologic inhibition of WEE2 is being explored as a non-hormonal female contraceptive strategy with limited somatic toxicity (hanna2020developmentofwee2 pages 8-9).</w:t>
      </w:r>
    </w:p>
    <w:p>
      <w:pPr>
        <w:pStyle w:val="BodyText"/>
      </w:pPr>
      <w:r>
        <w:t xml:space="preserve">References</w:t>
      </w:r>
    </w:p>
    <w:p>
      <w:pPr>
        <w:numPr>
          <w:ilvl w:val="0"/>
          <w:numId w:val="1001"/>
        </w:numPr>
      </w:pPr>
      <w:r>
        <w:t xml:space="preserve">(hanna2020developmentofwee2 pages 1-2): Carol B Hanna, Deepti Mudaliar, Kristen John, C Leigh Allen, Luxin Sun, Jon E Hawkinson, Ernst Schönbrunn, Gunda I Georg, and Jeffrey T Jensen. Development of wee2 kinase inhibitors as novel non-hormonal female contraceptives that target meiosis†. Biology of Reproduction, 103:368-377, Jun 2020. URL: https://doi.org/10.1093/biolre/ioaa097, doi:10.1093/biolre/ioaa097. This article has 12 citations and is from a peer-reviewed journal.</w:t>
      </w:r>
    </w:p>
    <w:p>
      <w:pPr>
        <w:numPr>
          <w:ilvl w:val="0"/>
          <w:numId w:val="1001"/>
        </w:numPr>
      </w:pPr>
      <w:r>
        <w:t xml:space="preserve">(hanna2020developmentofwee2 pages 2-3): Carol B Hanna, Deepti Mudaliar, Kristen John, C Leigh Allen, Luxin Sun, Jon E Hawkinson, Ernst Schönbrunn, Gunda I Georg, and Jeffrey T Jensen. Development of wee2 kinase inhibitors as novel non-hormonal female contraceptives that target meiosis†. Biology of Reproduction, 103:368-377, Jun 2020. URL: https://doi.org/10.1093/biolre/ioaa097, doi:10.1093/biolre/ioaa097. This article has 12 citations and is from a peer-reviewed journal.</w:t>
      </w:r>
    </w:p>
    <w:p>
      <w:pPr>
        <w:numPr>
          <w:ilvl w:val="0"/>
          <w:numId w:val="1001"/>
        </w:numPr>
      </w:pPr>
      <w:r>
        <w:t xml:space="preserve">(hanna2020developmentofwee2 pages 3-4): Carol B Hanna, Deepti Mudaliar, Kristen John, C Leigh Allen, Luxin Sun, Jon E Hawkinson, Ernst Schönbrunn, Gunda I Georg, and Jeffrey T Jensen. Development of wee2 kinase inhibitors as novel non-hormonal female contraceptives that target meiosis†. Biology of Reproduction, 103:368-377, Jun 2020. URL: https://doi.org/10.1093/biolre/ioaa097, doi:10.1093/biolre/ioaa097. This article has 12 citations and is from a peer-reviewed journal.</w:t>
      </w:r>
    </w:p>
    <w:p>
      <w:pPr>
        <w:numPr>
          <w:ilvl w:val="0"/>
          <w:numId w:val="1001"/>
        </w:numPr>
      </w:pPr>
      <w:r>
        <w:t xml:space="preserve">(hanna2020developmentofwee2 pages 5-5): Carol B Hanna, Deepti Mudaliar, Kristen John, C Leigh Allen, Luxin Sun, Jon E Hawkinson, Ernst Schönbrunn, Gunda I Georg, and Jeffrey T Jensen. Development of wee2 kinase inhibitors as novel non-hormonal female contraceptives that target meiosis†. Biology of Reproduction, 103:368-377, Jun 2020. URL: https://doi.org/10.1093/biolre/ioaa097, doi:10.1093/biolre/ioaa097. This article has 12 citations and is from a peer-reviewed journal.</w:t>
      </w:r>
    </w:p>
    <w:p>
      <w:pPr>
        <w:numPr>
          <w:ilvl w:val="0"/>
          <w:numId w:val="1001"/>
        </w:numPr>
      </w:pPr>
      <w:r>
        <w:t xml:space="preserve">(hanna2020developmentofwee2 pages 5-6): Carol B Hanna, Deepti Mudaliar, Kristen John, C Leigh Allen, Luxin Sun, Jon E Hawkinson, Ernst Schönbrunn, Gunda I Georg, and Jeffrey T Jensen. Development of wee2 kinase inhibitors as novel non-hormonal female contraceptives that target meiosis†. Biology of Reproduction, 103:368-377, Jun 2020. URL: https://doi.org/10.1093/biolre/ioaa097, doi:10.1093/biolre/ioaa097. This article has 12 citations and is from a peer-reviewed journal.</w:t>
      </w:r>
    </w:p>
    <w:p>
      <w:pPr>
        <w:numPr>
          <w:ilvl w:val="0"/>
          <w:numId w:val="1001"/>
        </w:numPr>
      </w:pPr>
      <w:r>
        <w:t xml:space="preserve">(hanna2020developmentofwee2 pages 8-9): Carol B Hanna, Deepti Mudaliar, Kristen John, C Leigh Allen, Luxin Sun, Jon E Hawkinson, Ernst Schönbrunn, Gunda I Georg, and Jeffrey T Jensen. Development of wee2 kinase inhibitors as novel non-hormonal female contraceptives that target meiosis†. Biology of Reproduction, 103:368-377, Jun 2020. URL: https://doi.org/10.1093/biolre/ioaa097, doi:10.1093/biolre/ioaa097. This article has 12 citations and is from a peer-reviewed journal.</w:t>
      </w:r>
    </w:p>
    <w:p>
      <w:pPr>
        <w:numPr>
          <w:ilvl w:val="0"/>
          <w:numId w:val="1001"/>
        </w:numPr>
      </w:pPr>
      <w:r>
        <w:t xml:space="preserve">(nozawa2023oocytespecificwee1likeprotein pages 1-2): Kaori Nozawa, Zian Liao, Yuhkoh Satouh, Ting Geng, Masahito Ikawa, Diana Monsivais, and Martin M. Matzuk. Oocyte-specific wee1-like protein kinase 2 is dispensable for fertility in mice. PLOS ONE, 18:e0289083, Aug 2023. URL: https://doi.org/10.1371/journal.pone.0289083, doi:10.1371/journal.pone.0289083. This article has 3 citations and is from a peer-reviewed journal.</w:t>
      </w:r>
    </w:p>
    <w:p>
      <w:pPr>
        <w:numPr>
          <w:ilvl w:val="0"/>
          <w:numId w:val="1001"/>
        </w:numPr>
      </w:pPr>
      <w:r>
        <w:t xml:space="preserve">(nozawa2023oocytespecificwee1likeprotein pages 12-13): Kaori Nozawa, Zian Liao, Yuhkoh Satouh, Ting Geng, Masahito Ikawa, Diana Monsivais, and Martin M. Matzuk. Oocyte-specific wee1-like protein kinase 2 is dispensable for fertility in mice. PLOS ONE, 18:e0289083, Aug 2023. URL: https://doi.org/10.1371/journal.pone.0289083, doi:10.1371/journal.pone.0289083. This article has 3 citations and is from a peer-reviewed journal.</w:t>
      </w:r>
    </w:p>
    <w:p>
      <w:pPr>
        <w:numPr>
          <w:ilvl w:val="0"/>
          <w:numId w:val="1001"/>
        </w:numPr>
      </w:pPr>
      <w:r>
        <w:t xml:space="preserve">(han2006newpathwaysfrom pages 2-3): Seung Jin Han and Marco Conti. New pathways from pka to the cdc2/cyclin b complex in oocytes: wee1b as a potential pka substrate. Cell Cycle, 5:227-231, Jan 2006. URL: https://doi.org/10.4161/cc.5.3.2395, doi:10.4161/cc.5.3.2395. This article has 202 citations and is from a peer-reviewed journal.</w:t>
      </w:r>
    </w:p>
    <w:p>
      <w:pPr>
        <w:numPr>
          <w:ilvl w:val="0"/>
          <w:numId w:val="1001"/>
        </w:numPr>
      </w:pPr>
      <w:r>
        <w:t xml:space="preserve">(hanna2020developmentofwee2 pages 4-5): Carol B Hanna, Deepti Mudaliar, Kristen John, C Leigh Allen, Luxin Sun, Jon E Hawkinson, Ernst Schönbrunn, Gunda I Georg, and Jeffrey T Jensen. Development of wee2 kinase inhibitors as novel non-hormonal female contraceptives that target meiosis†. Biology of Reproduction, 103:368-377, Jun 2020. URL: https://doi.org/10.1093/biolre/ioaa097, doi:10.1093/biolre/ioaa097. This article has 12 citations and is from a peer-reviewed journal.</w:t>
      </w:r>
    </w:p>
    <w:p>
      <w:pPr>
        <w:numPr>
          <w:ilvl w:val="0"/>
          <w:numId w:val="1001"/>
        </w:numPr>
      </w:pPr>
      <w:r>
        <w:t xml:space="preserve">(hanna2020developmentofwee2 pages 6-7): Carol B Hanna, Deepti Mudaliar, Kristen John, C Leigh Allen, Luxin Sun, Jon E Hawkinson, Ernst Schönbrunn, Gunda I Georg, and Jeffrey T Jensen. Development of wee2 kinase inhibitors as novel non-hormonal female contraceptives that target meiosis†. Biology of Reproduction, 103:368-377, Jun 2020. URL: https://doi.org/10.1093/biolre/ioaa097, doi:10.1093/biolre/ioaa097. This article has 12 citations and is from a peer-reviewed journal.</w:t>
      </w:r>
    </w:p>
    <w:p>
      <w:pPr>
        <w:numPr>
          <w:ilvl w:val="0"/>
          <w:numId w:val="1001"/>
        </w:numPr>
      </w:pPr>
      <w:r>
        <w:t xml:space="preserve">(hanna2020developmentofwee2 pages 7-8): Carol B Hanna, Deepti Mudaliar, Kristen John, C Leigh Allen, Luxin Sun, Jon E Hawkinson, Ernst Schönbrunn, Gunda I Georg, and Jeffrey T Jensen. Development of wee2 kinase inhibitors as novel non-hormonal female contraceptives that target meiosis†. Biology of Reproduction, 103:368-377, Jun 2020. URL: https://doi.org/10.1093/biolre/ioaa097, doi:10.1093/biolre/ioaa097. This article has 12 citations and is from a peer-reviewed journal.</w:t>
      </w:r>
    </w:p>
    <w:p>
      <w:pPr>
        <w:numPr>
          <w:ilvl w:val="0"/>
          <w:numId w:val="1001"/>
        </w:numPr>
      </w:pPr>
      <w:r>
        <w:t xml:space="preserve">(han2006newpathwaysfrom pages 1-2): Seung Jin Han and Marco Conti. New pathways from pka to the cdc2/cyclin b complex in oocytes: wee1b as a potential pka substrate. Cell Cycle, 5:227-231, Jan 2006. URL: https://doi.org/10.4161/cc.5.3.2395, doi:10.4161/cc.5.3.2395. This article has 202 citations and is from a peer-reviewed journal.</w:t>
      </w:r>
    </w:p>
    <w:p>
      <w:pPr>
        <w:numPr>
          <w:ilvl w:val="0"/>
          <w:numId w:val="1001"/>
        </w:numPr>
      </w:pPr>
      <w:r>
        <w:t xml:space="preserve">(nozawa2023oocytespecificwee1likeprotein pages 6-8): Kaori Nozawa, Zian Liao, Yuhkoh Satouh, Ting Geng, Masahito Ikawa, Diana Monsivais, and Martin M. Matzuk. Oocyte-specific wee1-like protein kinase 2 is dispensable for fertility in mice. PLOS ONE, 18:e0289083, Aug 2023. URL: https://doi.org/10.1371/journal.pone.0289083, doi:10.1371/journal.pone.0289083. This article has 3 citations and is from a peer-reviewed journal.</w:t>
      </w:r>
    </w:p>
    <w:p>
      <w:pPr>
        <w:numPr>
          <w:ilvl w:val="0"/>
          <w:numId w:val="1001"/>
        </w:numPr>
      </w:pPr>
      <w:r>
        <w:t xml:space="preserve">(yaronbarir2024theintrinsicsubstrate pages 2-3):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2025-07-02T17:27:25Z</dcterms:created>
  <dcterms:modified xsi:type="dcterms:W3CDTF">2025-07-02T17:27:25Z</dcterms:modified>
</cp:coreProperties>
</file>

<file path=docProps/custom.xml><?xml version="1.0" encoding="utf-8"?>
<Properties xmlns="http://schemas.openxmlformats.org/officeDocument/2006/custom-properties" xmlns:vt="http://schemas.openxmlformats.org/officeDocument/2006/docPropsVTypes"/>
</file>