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Orthologous genes encoding SH4-U-SH3-SH2-KD-tail kinases have been cloned from Gallus gallus (c-Src), Mus musculus (m-Src), Danio rerio, Drosophila melanogaster and Homo sapiens, demonstrating deep conservation across metazoans (roskoski2004srcprotein–tyrosinekinase pages 1-2, roskoski2004srcprotein–tyrosinekinase pages 9-10).</w:t>
      </w:r>
      <w:r>
        <w:br/>
      </w:r>
      <w:r>
        <w:t xml:space="preserve">• Within the human kinome, SRC belongs to the Tyrosine Kinase (TK) group, Src-family kinases (SFKs); it occupies the SrcA sub-branch that also includes YES1, FYN and FGR, whereas the paralogous SrcB branch comprises HCK, LYN, LCK and BLK (unknownauthors2013diversityinsrcfamily pages 17-22).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protein-L-tyrosyl-O-phosphate (roskoski2004srcprotein–tyrosinekinase pages 3-5).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a divalent cation, optimally Mg²⁺; Mn²⁺ substitutes in vitro (roskoski2004srcprotein–tyrosinekinase pages 3-5, temps2020preclinicalinvestigationof pages 24-29).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Catalytic motif preference: acidic residues at –3/–2, Tyr0, and a hydrophobic residue at +1; canonical peptide EEIYGEF exemplifies this bias (roskoski2004srcprotein–tyrosinekinase pages 8-9).</w:t>
      </w:r>
      <w:r>
        <w:br/>
      </w:r>
      <w:r>
        <w:t xml:space="preserve">• Docking specificity: the SH2 domain preferentially engages pYEEI-type sequences, enhancing processive phosphorylation of substrates bearing this motif (boggon2004structureandregulation pages 2-3).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Linear architecture: N-terminal myristoylated SH4, unique region, SH3, SH2, SH2-kinase linker, bilobed kinase (SH1) domain, C-terminal regulatory tail with Tyr530 (human numbering) (boggon2004structureandregulation pages 1-2, roskoski2004srcprotein–tyrosinekinase pages 2-3).</w:t>
      </w:r>
      <w:r>
        <w:br/>
      </w:r>
      <w:r>
        <w:t xml:space="preserve">• Autoinhibited conformation: SH2 binds pTyr530 and SH3 clamps the proline-rich linker, ejecting helix αC and burying activation-loop Tyr419, thereby rupturing the Lys295–Glu310 ion pair (boggon2004structureandregulation pages 1-2, unknownauthors2013diversityinsrcfamily pages 56-60).</w:t>
      </w:r>
      <w:r>
        <w:br/>
      </w:r>
      <w:r>
        <w:t xml:space="preserve">• Active conformation: tail dephosphorylation or ligand displacement releases SH2/SH3 constraints; Tyr419 autophosphorylation orders the activation loop, realigns αC and completes the hydrophobic spine (cowan</w:t>
      </w:r>
      <w:r>
        <w:softHyphen/>
      </w:r>
      <w:r>
        <w:t xml:space="preserve">jacob2005thecrystalstructure pages 1-2, unknownauthors2013diversityinsrcfamily pages 87-92).</w:t>
      </w:r>
      <w:r>
        <w:br/>
      </w:r>
      <w:r>
        <w:t xml:space="preserve">• Catalytic landmarks: Lys295 anchors ATP; Asp386 acts as catalytic base; DFG-Asp404 coordinates metal; Trp260 wedges against αC in the off-state (unknownauthors2006selectiveactivationof pages 44-47, unknownauthors2013diversityinsrcfamily pages 87-92).</w:t>
      </w:r>
      <w:r>
        <w:br/>
      </w:r>
      <w:r>
        <w:t xml:space="preserve">• A C-lobe pocket can capture the N-terminal myristate, further stabilizing the closed state (cowan</w:t>
      </w:r>
      <w:r>
        <w:softHyphen/>
      </w:r>
      <w:r>
        <w:t xml:space="preserve">jacob2005thecrystalstructure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Tyr530 (human) / Tyr527 (chicken) phosphorylation by CSK or CHK enforces SH2-mediated autoinhibition, reducing catalytic efficiency by ~50-fold (boggon2004structureandregulation pages 1-2, roskoski2005srckinaseregulation pages 2-4).</w:t>
      </w:r>
      <w:r>
        <w:br/>
      </w:r>
      <w:r>
        <w:t xml:space="preserve">– Dephosphorylation of pTyr530 by PTP1B, SHP1, SHP2, PTPα or PTPε abolishes this restraint and primes activation (roskoski2005srckinaseregulation pages 7-9, roskoski2005srckinaseregulation pages 11-13).</w:t>
      </w:r>
      <w:r>
        <w:br/>
      </w:r>
      <w:r>
        <w:t xml:space="preserve">– Tyr419 autophosphorylation stabilizes the active conformation and maximizes turnover (cowan</w:t>
      </w:r>
      <w:r>
        <w:softHyphen/>
      </w:r>
      <w:r>
        <w:t xml:space="preserve">jacob2005thecrystalstructure pages 1-2).</w:t>
      </w:r>
      <w:r>
        <w:br/>
      </w:r>
      <w:r>
        <w:t xml:space="preserve">– Additional sites: Tyr213 (SH2) and Tyr138 (SH3); phosphorylation weakens intramolecular contacts, favouring activation (roskoski2005srckinaseregulation pages 2-4).</w:t>
      </w:r>
      <w:r>
        <w:br/>
      </w:r>
      <w:r>
        <w:t xml:space="preserve">– Ubiquitination of active Src promotes proteasomal degradation, providing negative feedback (taskinen2017earlyemergenceof pages 11-11).</w:t>
      </w:r>
    </w:p>
    <w:p>
      <w:pPr>
        <w:pStyle w:val="BodyText"/>
      </w:pPr>
      <w:r>
        <w:t xml:space="preserve">Allosteric and conformational control</w:t>
      </w:r>
      <w:r>
        <w:br/>
      </w:r>
      <w:r>
        <w:t xml:space="preserve">High-affinity external ligands binding SH3 or SH2 can displace intramolecular interactions to activate the kinase independently of tail dephosphorylation (unknownauthors2013diversityinsrcfamily pages 87-92, boggon2004structureandregulation pages 1-2).</w:t>
      </w:r>
    </w:p>
    <w:p>
      <w:pPr>
        <w:pStyle w:val="BodyText"/>
      </w:pPr>
      <w:r>
        <w:t xml:space="preserve">Lipid modification</w:t>
      </w:r>
      <w:r>
        <w:br/>
      </w:r>
      <w:r>
        <w:t xml:space="preserve">Gly2 myristoylation is indispensable for membrane anchoring and can dock into the C-lobe pocket of the kinase, contributing to autoinhibition; unlike several SFKs, SRC is not palmitoylated (superti-furga1995structure-functionrelationshipsin pages 1-3, cowan</w:t>
      </w:r>
      <w:r>
        <w:softHyphen/>
      </w:r>
      <w:r>
        <w:t xml:space="preserve">jacob2005thecrystalstructure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ubiquitous with highest levels in brain, osteoclasts and platelets (roskoski2004srcprotein–tyrosinekinase pages 2-3).</w:t>
      </w:r>
      <w:r>
        <w:br/>
      </w:r>
      <w:r>
        <w:t xml:space="preserve">• Upstream activators: receptor tyrosine kinases (PDGFR, ERBB family), integrins, immune receptors and certain GPCRs; activation routes include tail dephosphorylation or SH2/SH3 displacement (roskoski2005srckinaseregulation pages 2-4, roskoski2004srcprotein–tyrosinekinase pages 1-2).</w:t>
      </w:r>
      <w:r>
        <w:br/>
      </w:r>
      <w:r>
        <w:t xml:space="preserve">• Major substrates: EGFR Tyr845, focal adhesion kinase (FAK), p190-RhoGAP, CRK-associated substrate (Cas), Vav2, PLCγ1 (haskell2001csrctyrosinephosphorylation pages 2-4, roskoski2005srckinaseregulation pages 7-9).</w:t>
      </w:r>
      <w:r>
        <w:br/>
      </w:r>
      <w:r>
        <w:t xml:space="preserve">• Downstream signalling intersects with Ras and Rho GTPases, STAT transcription factors and osteoclast bone resorption machinery, governing proliferation, adhesion, migration and survival (roskoski2004srcprotein–tyrosinekinase pages 8-9, roskoski2004srcprotein–tyrosinekinase pages 2-3).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Clinically deployed ATP-competitive inhibitors include dasatinib, bosutinib and saracatinib; all occupy the nucleotide pocket and inhibit SFKs with low-nanomolar potency (temps2020preclinicalinvestigationof pages 24-29).</w:t>
      </w:r>
      <w:r>
        <w:br/>
      </w:r>
      <w:r>
        <w:t xml:space="preserve">• Early research probes such as pyrazolo-pyrimidine PP1 and imatinib analogues clarified active-state binding requirements and informed selectivity optimisation (engen2008structureanddynamic pages 1-2, cowan</w:t>
      </w:r>
      <w:r>
        <w:softHyphen/>
      </w:r>
      <w:r>
        <w:t xml:space="preserve">jacob2005thecrystalstructure pages 1-2).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Deletion of the C-terminal tail or Tyr530Phe substitution yields constitutively active, oncogenic enzymes analogous to Rous sarcoma virus v-Src (roskoski2004srcprotein–tyrosinekinase pages 3-5).</w:t>
      </w:r>
      <w:r>
        <w:br/>
      </w:r>
      <w:r>
        <w:t xml:space="preserve">• Src-null mice develop severe osteopetrosis due to defective osteoclast function, underscoring an essential role in bone remodelling (roskoski2004srcprotein–tyrosinekinase pages 2-3).</w:t>
      </w:r>
      <w:r>
        <w:br/>
      </w:r>
      <w:r>
        <w:t xml:space="preserve">• Elevated SRC activity is common in diverse malignancies and correlates with resistance to targeted therapies, cementing its status as a prominent drug target (roskoski2004srcprotein–tyrosinekinase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(boggon2004structureandregulation pages 1-2): T. Boggon and M. Eck. Structure and regulation of src family kinases. Oncogene, 23:7918-7927, Oct 2004. URL: https://doi.org/10.1038/sj.onc.1208081, doi:10.1038/sj.onc.1208081. This article has 968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(engen2008structureanddynamic pages 1-2): J. R. Engen, T. E. Wales, J. M. Hochrein, M. A. Meyn, S. Banu Ozkan, I. Bahar, and T. E. Smithgall. Structure and dynamic regulation of src-family kinases. Cellular and Molecular Life Sciences, 65:3058-3073, Jun 2008. URL: https://doi.org/10.1007/s00018-008-8122-2, doi:10.1007/s00018-008-8122-2. This article has 225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(roskoski2004srcprotein–tyrosinekinase pages 1-2): Robert Roskoski. Src protein–tyrosine kinase structure and regulation. Biochemical and Biophysical Research Communications, 324:1155-1164, Nov 2004. URL: https://doi.org/10.1016/j.bbrc.2004.09.171, doi:10.1016/j.bbrc.2004.09.171. This article has 828 citations and is from a peer-reviewed journal.</w:t>
      </w:r>
    </w:p>
    <w:p>
      <w:pPr>
        <w:numPr>
          <w:ilvl w:val="0"/>
          <w:numId w:val="1001"/>
        </w:numPr>
      </w:pPr>
      <w:r>
        <w:t xml:space="preserve">(roskoski2004srcprotein–tyrosinekinase pages 3-5): Robert Roskoski. Src protein–tyrosine kinase structure and regulation. Biochemical and Biophysical Research Communications, 324:1155-1164, Nov 2004. URL: https://doi.org/10.1016/j.bbrc.2004.09.171, doi:10.1016/j.bbrc.2004.09.171. This article has 828 citations and is from a peer-reviewed journal.</w:t>
      </w:r>
    </w:p>
    <w:p>
      <w:pPr>
        <w:numPr>
          <w:ilvl w:val="0"/>
          <w:numId w:val="1001"/>
        </w:numPr>
      </w:pPr>
      <w:r>
        <w:t xml:space="preserve">(roskoski2004srcprotein–tyrosinekinase pages 8-9): Robert Roskoski. Src protein–tyrosine kinase structure and regulation. Biochemical and Biophysical Research Communications, 324:1155-1164, Nov 2004. URL: https://doi.org/10.1016/j.bbrc.2004.09.171, doi:10.1016/j.bbrc.2004.09.171. This article has 828 citations and is from a peer-reviewed journal.</w:t>
      </w:r>
    </w:p>
    <w:p>
      <w:pPr>
        <w:numPr>
          <w:ilvl w:val="0"/>
          <w:numId w:val="1001"/>
        </w:numPr>
      </w:pPr>
      <w:r>
        <w:t xml:space="preserve">(roskoski2004srcprotein–tyrosinekinase pages 9-10): Robert Roskoski. Src protein–tyrosine kinase structure and regulation. Biochemical and Biophysical Research Communications, 324:1155-1164, Nov 2004. URL: https://doi.org/10.1016/j.bbrc.2004.09.171, doi:10.1016/j.bbrc.2004.09.171. This article has 828 citations and is from a peer-reviewed journal.</w:t>
      </w:r>
    </w:p>
    <w:p>
      <w:pPr>
        <w:numPr>
          <w:ilvl w:val="0"/>
          <w:numId w:val="1001"/>
        </w:numPr>
      </w:pPr>
      <w:r>
        <w:t xml:space="preserve">(temps2020preclinicalinvestigationof pages 24-29): Carolin Temps. Preclinical investigation of the novel src inhibitor ecf506 in cancer. Unknown journal, Jun 2020. URL: https://doi.org/10.7488/era/279, doi:10.7488/era/279. This article has 1 citations.</w:t>
      </w:r>
    </w:p>
    <w:p>
      <w:pPr>
        <w:numPr>
          <w:ilvl w:val="0"/>
          <w:numId w:val="1001"/>
        </w:numPr>
      </w:pPr>
      <w:r>
        <w:t xml:space="preserve">(unknownauthors2013diversityinsrcfamily pages 56-60): Diversity in Src-family kinase activation mechanisms: Implications for selective inhibitor discovery</w:t>
      </w:r>
    </w:p>
    <w:p>
      <w:pPr>
        <w:numPr>
          <w:ilvl w:val="0"/>
          <w:numId w:val="1001"/>
        </w:numPr>
      </w:pPr>
      <w:r>
        <w:t xml:space="preserve">(unknownauthors2013diversityinsrcfamily pages 87-92): Diversity in Src-family kinase activation mechanisms: Implications for selective inhibitor discovery</w:t>
      </w:r>
    </w:p>
    <w:p>
      <w:pPr>
        <w:numPr>
          <w:ilvl w:val="0"/>
          <w:numId w:val="1001"/>
        </w:numPr>
      </w:pPr>
      <w:r>
        <w:t xml:space="preserve">(boggon2004structureandregulation pages 2-3): T. Boggon and M. Eck. Structure and regulation of src family kinases. Oncogene, 23:7918-7927, Oct 2004. URL: https://doi.org/10.1038/sj.onc.1208081, doi:10.1038/sj.onc.1208081. This article has 968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(roskoski2004srcprotein–tyrosinekinase pages 2-3): Robert Roskoski. Src protein–tyrosine kinase structure and regulation. Biochemical and Biophysical Research Communications, 324:1155-1164, Nov 2004. URL: https://doi.org/10.1016/j.bbrc.2004.09.171, doi:10.1016/j.bbrc.2004.09.171. This article has 828 citations and is from a peer-reviewed journal.</w:t>
      </w:r>
    </w:p>
    <w:p>
      <w:pPr>
        <w:numPr>
          <w:ilvl w:val="0"/>
          <w:numId w:val="1001"/>
        </w:numPr>
      </w:pPr>
      <w:r>
        <w:t xml:space="preserve">(roskoski2005srckinaseregulation pages 11-13): R. Roskoski. Src kinase regulation by phosphorylation and dephosphorylation. Biochemical and biophysical research communications, 331 1:1-14, May 2005. URL: https://doi.org/10.1016/j.bbrc.2005.03.012, doi:10.1016/j.bbrc.2005.03.012. This article has 771 citations and is from a peer-reviewed journal.</w:t>
      </w:r>
    </w:p>
    <w:p>
      <w:pPr>
        <w:numPr>
          <w:ilvl w:val="0"/>
          <w:numId w:val="1001"/>
        </w:numPr>
      </w:pPr>
      <w:r>
        <w:t xml:space="preserve">(roskoski2005srckinaseregulation pages 2-4): R. Roskoski. Src kinase regulation by phosphorylation and dephosphorylation. Biochemical and biophysical research communications, 331 1:1-14, May 2005. URL: https://doi.org/10.1016/j.bbrc.2005.03.012, doi:10.1016/j.bbrc.2005.03.012. This article has 771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(unknownauthors2006selectiveactivationof pages 44-47): Selective Activation of Src Family Kinases by the HIV-1 Nef Protein</w:t>
      </w:r>
    </w:p>
    <w:p>
      <w:pPr>
        <w:numPr>
          <w:ilvl w:val="0"/>
          <w:numId w:val="1001"/>
        </w:numPr>
      </w:pPr>
      <w:r>
        <w:t xml:space="preserve">(unknownauthors2013diversityinsrcfamily pages 17-22): Diversity in Src-family kinase activation mechanisms: Implications for selective inhibitor discovery</w:t>
      </w:r>
    </w:p>
    <w:p>
      <w:pPr>
        <w:numPr>
          <w:ilvl w:val="0"/>
          <w:numId w:val="1001"/>
        </w:numPr>
      </w:pPr>
      <w:r>
        <w:t xml:space="preserve">(haskell2001csrctyrosinephosphorylation pages 2-4): Michelle D. Haskell, Jill K. Slack, J. Thomas Parsons, and Sarah J. Parsons. C-src tyrosine phosphorylation of epidermal growth factor receptor, p190 rhogap, and focal adhesion kinase regulates diverse cellular processes. Chemical Reviews, 101:2425-2440, Jul 2001. URL: https://doi.org/10.1021/cr0002341, doi:10.1021/cr0002341. This article has 76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(roskoski2005srckinaseregulation pages 7-9): R. Roskoski. Src kinase regulation by phosphorylation and dephosphorylation. Biochemical and biophysical research communications, 331 1:1-14, May 2005. URL: https://doi.org/10.1016/j.bbrc.2005.03.012, doi:10.1016/j.bbrc.2005.03.012. This article has 771 citations and is from a peer-reviewed journal.</w:t>
      </w:r>
    </w:p>
    <w:p>
      <w:pPr>
        <w:numPr>
          <w:ilvl w:val="0"/>
          <w:numId w:val="1001"/>
        </w:numPr>
      </w:pPr>
      <w:r>
        <w:t xml:space="preserve">(taskinen2017earlyemergenceof pages 11-11): Barbara Taskinen, E. Ferrada, and D. Fowler. Early emergence of negative regulation of the tyrosine kinase src by the c-terminal src kinase. The Journal of Biological Chemistry, 292:18518-18529, Sep 2017. URL: https://doi.org/10.1074/jbc.m117.811174, doi:10.1074/jbc.m117.811174. This article has 6 citations.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2025-07-02T17:27:06Z</dcterms:created>
  <dcterms:modified xsi:type="dcterms:W3CDTF">2025-07-02T17:27:06Z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