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PHKG2 is a paralog of PHKG1, with which it shares significant sequence homology (bali2014variabilityofdisease pages 12-12). Both are gamma subunits of phosphorylase kinase (manning2002theproteinkinase pages 7-8). The gamma subunit is highly homologous to the catalytic subunit of cAMP-dependent protein kinase (PKA) and is highly conserved across species (brushia1999phosphorylasekinasethe pages 2-3). PHKG2 belongs to the eukaryotic protein kinase (ePK) superfamily (brushia1999phosphorylasekinasethe pages 18-19, hanks2003genomicanalysisof pages 1-2). Phylogenetic classification based on Manning et al. (2002) is conflicting in the provided sources, with PHKG2 assigned to the AGC kinase group (brushia1999phosphorylasekinasethe pages 2-3, hanks2003genomicanalysisof pages 6-7), the calcium/calmodulin-dependent protein kinase (CAMK) group (bali2014variabilityofdisease pages 12-12, burwinkel2003muscleglycogenosiswith pages 1-2), and the CMGC kinase group (bali2014variabilityofdisease pages 12-12, manning2011theminimalkinome pages 5-6).</w:t>
      </w:r>
    </w:p>
    <w:bookmarkEnd w:id="9"/>
    <w:bookmarkStart w:id="10" w:name="reaction-catalyzed"/>
    <w:p>
      <w:pPr>
        <w:pStyle w:val="Heading2"/>
      </w:pPr>
      <w:r>
        <w:t xml:space="preserve">Reaction Catalyzed</w:t>
      </w:r>
    </w:p>
    <w:p>
      <w:pPr>
        <w:pStyle w:val="FirstParagraph"/>
      </w:pPr>
      <w:r>
        <w:t xml:space="preserve">Phosphorylase kinase catalyzes the transfer of the gamma-phosphate from ATP to serine residues on its substrate, glycogen phosphorylase b, converting it to the active phosphorylase a form (bali2014variabilityofdisease pages 12-12). This reaction activates glycogen phosphorylase to catalyze the conversion of glycogen to glucose-1-phosphate (albash2014novelphkg2mutation pages 5-6, bali2014variabilityofdisease pages 12-12). The reaction is: phosphorylase b + ATP → phosphorylase a + ADP (bali2014variabilityofdisease pages 12-12). Other substrates phosphorylated in vitro include glycogen synthase, troponin I/T, casein, and the neuronal proteins B-50 and neurogranin (brushia1999phosphorylasekinasethe pages 16-17).</w:t>
      </w:r>
    </w:p>
    <w:bookmarkEnd w:id="10"/>
    <w:bookmarkStart w:id="11" w:name="cofactor-requirements"/>
    <w:p>
      <w:pPr>
        <w:pStyle w:val="Heading2"/>
      </w:pPr>
      <w:r>
        <w:t xml:space="preserve">Cofactor Requirements</w:t>
      </w:r>
    </w:p>
    <w:p>
      <w:pPr>
        <w:pStyle w:val="FirstParagraph"/>
      </w:pPr>
      <w:r>
        <w:t xml:space="preserve">Catalytic activity requires divalent metal ion cofactors, primarily Mg²⁺ or Mn²⁺, which are essential for coordinating ATP binding and the phosphoryl transfer reaction (bali2014variabilityofdisease pages 12-12, brushia1999phosphorylasekinasethe pages 18-19). The enzyme is also dependent on Ca²⁺, which binds to the integral delta subunit (calmodulin) to mediate activation (brushia1999phosphorylasekinasethe pages 1-2, bali2014variabilityofdisease pages 12-12).</w:t>
      </w:r>
    </w:p>
    <w:bookmarkEnd w:id="11"/>
    <w:bookmarkStart w:id="12" w:name="substrate-specificity"/>
    <w:p>
      <w:pPr>
        <w:pStyle w:val="Heading2"/>
      </w:pPr>
      <w:r>
        <w:t xml:space="preserve">Substrate Specificity</w:t>
      </w:r>
    </w:p>
    <w:p>
      <w:pPr>
        <w:pStyle w:val="FirstParagraph"/>
      </w:pPr>
      <w:r>
        <w:t xml:space="preserve">The substrate specificity of PHKG2 was determined as part of a comprehensive analysis of the human serine/threonine kinome using positional scoring matrices (PSSMs) to define amino acid preferences at positions -5 to +5 relative to the phosphorylation site (johnson2023anatlasof pages 4-5, johnson2023anatlasof pages 9-10). The enzyme shows specificity for serine residues (brushia1999phosphorylasekinasethe pages 16-17). Substrate recognition involves a consensus motif favoring positively charged residues at positions P-3 and P-4, a hydrophobic residue at P+1, and a basic residue at P+2 relative to the phosphorylated serine (position 0) (brushia1999phosphorylasekinasethe pages 15-16). Substrate binding is influenced by both the linear peptide sequence and the tertiary/quaternary structure of the native substrate (brushia1999phosphorylasekinasethe pages 15-16).</w:t>
      </w:r>
    </w:p>
    <w:bookmarkEnd w:id="12"/>
    <w:bookmarkStart w:id="13" w:name="structure"/>
    <w:p>
      <w:pPr>
        <w:pStyle w:val="Heading2"/>
      </w:pPr>
      <w:r>
        <w:t xml:space="preserve">Structure</w:t>
      </w:r>
    </w:p>
    <w:p>
      <w:pPr>
        <w:pStyle w:val="FirstParagraph"/>
      </w:pPr>
      <w:r>
        <w:t xml:space="preserve">PHKG2 is the gamma (γ) catalytic subunit of the large (αβγδ)₄ phosphorylase kinase holoenzyme, which has a mass of ~1.3 MDa and a</w:t>
      </w:r>
      <w:r>
        <w:t xml:space="preserve"> </w:t>
      </w:r>
      <w:r>
        <w:t xml:space="preserve">‘butterfly-like’</w:t>
      </w:r>
      <w:r>
        <w:t xml:space="preserve"> </w:t>
      </w:r>
      <w:r>
        <w:t xml:space="preserve">shape with D2 symmetry (brushia1999phosphorylasekinasethe pages 2-3, brushia1999phosphorylasekinasethe pages 8-9). The N-terminal two-thirds of the gamma subunit (residues 1-298) forms the catalytic domain, which has a bilobal architecture homologous to the PKA catalytic subunit (brushia1999phosphorylasekinasethe pages 2-3, brushia1999phosphorylasekinasethe pages 3-4). The C-terminal third (residues 299-386) is a unique regulatory domain that functions as an autoinhibitor and contains two calmodulin-binding domains (residues 301-327 and 332-371) (brushia1999phosphorylasekinasethe pages 3-4). The catalytic domain contains key conserved structural features, including a C-helix, a catalytic spine (C-spine), and a regulatory spine (R-spine), which assemble to form the active kinase core (taylor2011proteinkinasesevolution pages 4-5, taylor2012evolutionofthe pages 3-4). The activation segment, which is part of the R-spine, lacks phosphorylatable residues; instead, a conserved glutamate (Glu182) may mimic a phosphoserine to help orient the substrate for catalysis (brushia1999phosphorylasekinasethe pages 16-17, johnson1996activeandinactive pages 3-4).</w:t>
      </w:r>
    </w:p>
    <w:bookmarkEnd w:id="13"/>
    <w:bookmarkStart w:id="14" w:name="regulation"/>
    <w:p>
      <w:pPr>
        <w:pStyle w:val="Heading2"/>
      </w:pPr>
      <w:r>
        <w:t xml:space="preserve">Regulation</w:t>
      </w:r>
    </w:p>
    <w:p>
      <w:pPr>
        <w:pStyle w:val="FirstParagraph"/>
      </w:pPr>
      <w:r>
        <w:t xml:space="preserve">The catalytic activity of the gamma subunit (PHKG2) is inhibited by the alpha and beta regulatory subunits and its own C-terminal autoinhibitory domain (brushia1999phosphorylasekinasethe pages 1-2, brushia1999phosphorylasekinasethe pages 3-4). Activation occurs through cooperative deinhibition via two mechanisms: Ca²⁺ binding to the delta subunit (calmodulin) and phosphorylation of the alpha and beta subunits by cAMP-dependent protein kinase (PKA) (brushia1999phosphorylasekinasethe pages 1-2). PKA phosphorylates the alpha subunit at multiple sites, with Ser1018 being a major regulatory site (brushia1999phosphorylasekinasethe pages 2-3, brushia1999phosphorylasekinasethe pages 6-7). The beta subunit is phosphorylated by PKA at Ser26, which is also a major regulatory site (brushia1999phosphorylasekinasethe pages 2-3, brushia1999phosphorylasekinasethe pages 6-7). The alpha and beta subunits are also subject to farnesylation at their C-termini (brushia1999phosphorylasekinasethe pages 3-4, brushia1999phosphorylasekinasethe pages 5-6). Activity is also allosterically stimulated by ADP, which binds to the beta subunit (brushia1999phosphorylasekinasethe pages 15-16).</w:t>
      </w:r>
    </w:p>
    <w:bookmarkEnd w:id="14"/>
    <w:bookmarkStart w:id="15" w:name="function"/>
    <w:p>
      <w:pPr>
        <w:pStyle w:val="Heading2"/>
      </w:pPr>
      <w:r>
        <w:t xml:space="preserve">Function</w:t>
      </w:r>
    </w:p>
    <w:p>
      <w:pPr>
        <w:pStyle w:val="FirstParagraph"/>
      </w:pPr>
      <w:r>
        <w:t xml:space="preserve">PHKG2 encodes the liver-specific isoform of the phosphorylase kinase gamma subunit and is primarily expressed in hepatic tissue, with a testis/liver variant also described (albash2014novelphkg2mutation pages 5-6, bali2014variabilityofdisease pages 12-12, burwinkel2003muscleglycogenosiswith pages 9-10). It is a key enzyme in glycogenolysis, the pathway for glycogen breakdown to glucose, and is critical for maintaining glucose homeostasis (albash2014novelphkg2mutation pages 5-6). PHKG2 functions as the catalytic core of the phosphorylase kinase holoenzyme, interacting with the alpha (PHKA2), beta (PHKB), and delta (calmodulin) subunits (bali2014variabilityofdisease pages 12-12). In the glycogenolytic pathway, it acts downstream of glycogen synthesis enzymes and upstream of its primary substrate, glycogen phosphorylase b, which it activates through phosphorylation (albash2014novelphkg2mutation pages 5-6, bali2014variabilityofdisease pages 12-12).</w:t>
      </w:r>
    </w:p>
    <w:bookmarkEnd w:id="15"/>
    <w:bookmarkStart w:id="16" w:name="inhibitors"/>
    <w:p>
      <w:pPr>
        <w:pStyle w:val="Heading2"/>
      </w:pPr>
      <w:r>
        <w:t xml:space="preserve">Inhibitors</w:t>
      </w:r>
    </w:p>
    <w:p>
      <w:pPr>
        <w:pStyle w:val="FirstParagraph"/>
      </w:pPr>
      <w:r>
        <w:t xml:space="preserve">The catalytic activity of the PHKG2-containing holoenzyme is inhibited by its regulatory alpha and beta subunits (brushia1999phosphorylasekinasethe pages 1-2). Experimentally, synthetic peptides that mimic the calmodulin-binding domains of the alpha and beta subunits can partially inhibit activated phosphorylase kinase (brushia1999phosphorylasekinasethe pages 13-14).</w:t>
      </w:r>
    </w:p>
    <w:bookmarkEnd w:id="16"/>
    <w:bookmarkStart w:id="17" w:name="other-comments"/>
    <w:p>
      <w:pPr>
        <w:pStyle w:val="Heading2"/>
      </w:pPr>
      <w:r>
        <w:t xml:space="preserve">Other Comments</w:t>
      </w:r>
    </w:p>
    <w:p>
      <w:pPr>
        <w:pStyle w:val="FirstParagraph"/>
      </w:pPr>
      <w:r>
        <w:t xml:space="preserve">Mutations in PHKG2 cause Glycogen Storage Disease type IXd (GSD IXd), an autosomal recessive disorder resulting from deficient phosphorylase kinase activity in the liver (albash2014novelphkg2mutation pages 5-6, bali2014variabilityofdisease pages 12-12). This leads to glycogen accumulation in hepatocytes and a clinical phenotype that includes hepatomegaly, hypoglycemia, elevated liver transaminases, growth retardation, and potential progression to hepatic fibrosis and cirrhosis (albash2014novelphkg2mutation pages 5-6, burwinkel2003muscleglycogenosiswith pages 1-2). Pathogenic mutations reported in patients include the homozygous missense mutation c.659G&gt;A (p.G220E), splice site mutations (c.647+5G&gt;T, c.96-11G&gt;A), nonsense mutations (p.Gln83</w:t>
      </w:r>
      <w:r>
        <w:rPr>
          <w:i/>
          <w:iCs/>
        </w:rPr>
        <w:t xml:space="preserve">, p.Trp300</w:t>
      </w:r>
      <w:r>
        <w:t xml:space="preserve">), missense mutations (p.Tyr358Cys), and small deletions (p.Lys53del) (albash2014novelphkg2mutation pages 5-6, bali2014variabilityofdisease pages 12-12). These mutations lead to defective or completely abolished enzyme activity (albash2014novelphkg2mutation pages 5-6, brushia1999phosphorylasekinasethe pages 17-18).</w:t>
      </w:r>
    </w:p>
    <w:p>
      <w:pPr>
        <w:pStyle w:val="BodyText"/>
      </w:pPr>
      <w:r>
        <w:t xml:space="preserve">References</w:t>
      </w:r>
    </w:p>
    <w:p>
      <w:pPr>
        <w:numPr>
          <w:ilvl w:val="0"/>
          <w:numId w:val="1001"/>
        </w:numPr>
      </w:pPr>
      <w:r>
        <w:t xml:space="preserve">(albash2014novelphkg2mutation pages 5-6): Buthainah Albash, F. Imtiaz, H. Al-Zaidan, Hadeel Al-Manea, M. Banemai, R. Allam, Ali Al-Suheel, and M. Al‐Owain. Novel phkg2 mutation causing gsd ix with prominent liver disease: report of three cases and review of literature. European Journal of Pediatrics, 173:647-653, May 2014. URL: https://doi.org/10.1007/s00431-013-2223-0, doi:10.1007/s00431-013-2223-0. This article has 39 citations and is from a peer-reviewed journal.</w:t>
      </w:r>
    </w:p>
    <w:p>
      <w:pPr>
        <w:numPr>
          <w:ilvl w:val="0"/>
          <w:numId w:val="1001"/>
        </w:numPr>
      </w:pPr>
      <w:r>
        <w:t xml:space="preserve">(bali2014variabilityofdisease pages 12-12): D. Bali, J. Goldstein, Keri Fredrickson, C. Rehder, A. Boney, S. Austin, D. Weinstein, Richard E. Lutz, A. Boneh, and P. Kishnani. Variability of disease spectrum in children with liver phosphorylase kinase deficiency caused by mutations in the phkg2 gene. Molecular genetics and metabolism, 111 3:309-313, Mar 2014. URL: https://doi.org/10.1016/j.ymgme.2013.12.008, doi:10.1016/j.ymgme.2013.12.008. This article has 66 citations and is from a peer-reviewed journal.</w:t>
      </w:r>
    </w:p>
    <w:p>
      <w:pPr>
        <w:numPr>
          <w:ilvl w:val="0"/>
          <w:numId w:val="1001"/>
        </w:numPr>
      </w:pPr>
      <w:r>
        <w:t xml:space="preserve">(brushia1999phosphorylasekinasethe pages 16-17):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17-18):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18-19):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2-3):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6-7):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(burwinkel2003muscleglycogenosiswith pages 1-2): B. Burwinkel, Bin Hu, A. Schroers, P. Clemens, S. Moses, Y. Shin, D. Pongratz, M. Vorgerd, and M. Kilimann. Muscle glycogenosis with low phosphorylase kinase activity: mutations in phka1, phkg1 or six other candidate genes explain only a minority of cases. European Journal of Human Genetics, 11:516-526, Jul 2003. URL: https://doi.org/10.1038/sj.ejhg.5200996, doi:10.1038/sj.ejhg.5200996. This article has 69 citations and is from a domain leading peer-reviewed journal.</w:t>
      </w:r>
    </w:p>
    <w:p>
      <w:pPr>
        <w:numPr>
          <w:ilvl w:val="0"/>
          <w:numId w:val="1001"/>
        </w:numPr>
      </w:pPr>
      <w:r>
        <w:t xml:space="preserve">(brushia1999phosphorylasekinasethe pages 1-2):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15-16):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5-6):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(burwinkel2003muscleglycogenosiswith pages 9-10): B. Burwinkel, Bin Hu, A. Schroers, P. Clemens, S. Moses, Y. Shin, D. Pongratz, M. Vorgerd, and M. Kilimann. Muscle glycogenosis with low phosphorylase kinase activity: mutations in phka1, phkg1 or six other candidate genes explain only a minority of cases. European Journal of Human Genetics, 11:516-526, Jul 2003. URL: https://doi.org/10.1038/sj.ejhg.5200996, doi:10.1038/sj.ejhg.5200996. This article has 69 citations and is from a domain leading peer-reviewed journal.</w:t>
      </w:r>
    </w:p>
    <w:p>
      <w:pPr>
        <w:numPr>
          <w:ilvl w:val="0"/>
          <w:numId w:val="1001"/>
        </w:numPr>
      </w:pPr>
      <w:r>
        <w:t xml:space="preserve">(hanks2003genomicanalysisof pages 1-2):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1"/>
        </w:numPr>
      </w:pPr>
      <w:r>
        <w:t xml:space="preserve">(hanks2003genomicanalysisof pages 6-7):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(manning2011theminimalkinome pages 5-6): Gerard Manning, David S Reiner, Tineke Lauwaet, Michael Dacre, Alias Smith, Yufeng Zhai, Staffan Svard, and Frances D Gillin. The minimal kinome of giardia lamblia illuminates early kinase evolution and unique parasite biology. Genome Biology, 12:R66-R66, Jul 2011. URL: https://doi.org/10.1186/gb-2011-12-7-r66, doi:10.1186/gb-2011-12-7-r66. This article has 152 citations and is from a highest quality peer-reviewed journal.</w:t>
      </w:r>
    </w:p>
    <w:p>
      <w:pPr>
        <w:numPr>
          <w:ilvl w:val="0"/>
          <w:numId w:val="1001"/>
        </w:numPr>
      </w:pPr>
      <w:r>
        <w:t xml:space="preserve">(taylor2011proteinkinasesevolution pages 4-5): Susan S. Taylor and Alexandr P. Kornev. Protein kinases: evolution of dynamic regulatory proteins. Trends in Biochemical Sciences, 36:65-77, Feb 2011. URL: https://doi.org/10.1016/j.tibs.2010.09.006, doi:10.1016/j.tibs.2010.09.006. This article has 1104 citations and is from a domain leading peer-reviewed journal.</w:t>
      </w:r>
    </w:p>
    <w:p>
      <w:pPr>
        <w:numPr>
          <w:ilvl w:val="0"/>
          <w:numId w:val="1001"/>
        </w:numPr>
      </w:pPr>
      <w:r>
        <w:t xml:space="preserve">(brushia1999phosphorylasekinasethe pages 13-14):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3-4):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(brushia1999phosphorylasekinasethe pages 8-9): R. Brushia and DONAL A. Walsh. Phosphorylase kinase: the complexity of its regulation is reflected in the complexity of its structure. Frontiers in bioscience : a journal and virtual library, 4:D618-41, Sep 1999. URL: https://doi.org/10.2741/brushia, doi:10.2741/brushia. This article has 249 citations.</w:t>
      </w:r>
    </w:p>
    <w:p>
      <w:pPr>
        <w:numPr>
          <w:ilvl w:val="0"/>
          <w:numId w:val="1001"/>
        </w:numPr>
      </w:pPr>
      <w:r>
        <w:t xml:space="preserve">(johnson1996activeandinactive pages 3-4): L. Johnson, M. Noble, and D. Owen. Active and inactive protein kinases: structural basis for regulation. Cell, 85:149-158, Apr 1996. URL: https://doi.org/10.1016/s0092-8674(00)81092-2, doi:10.1016/s0092-8674(00)81092-2. This article has 1857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(taylor2012evolutionofthe pages 3-4): Susan S. Taylor, Malik M. Keshwani, Jon M. Steichen, and Alexandr P. Kornev. Evolution of the eukaryotic protein kinases as dynamic molecular switches. Philosophical Transactions of the Royal Society B: Biological Sciences, 367:2517-2528, Sep 2012. URL: https://doi.org/10.1098/rstb.2012.0054, doi:10.1098/rstb.2012.0054. This article has 276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