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Protein kinase C alpha (PKCα), encoded by the PRKCA gene, is classified as a conventional (or classical) PKC (cPKC) isozyme within the Protein Kinase C (PKC) family (newton2003regulationofthe pages 1-2, ron1999newinsightsinto pages 2-3, singh2017proteinkinasecα pages 1-2). According to the kinome classification by Manning et al., the PKC family belongs to the AGC group of serine/threonine kinases (singh2017proteinkinasecα pages 2-4, unknownauthors2019deregulationofprotein pages 144-148, unknownauthors2019deregulationofprotein pages 22-26). Within the AGC kinome, PKCα is closely related to Akt, p70 S6 kinase, and PDK-1 (newton2010proteinkinasec pages 1-2, newton2018proteinkinasec pages 3-5). The PKC gene family evolved from a single yeast homolog, Pkc1 (newton2018proteinkinasec pages 3-5). Orthologs of PRKCA are found across diverse eukaryotes, including mammals, and lower eukaryotes such as</w:t>
      </w:r>
      <w:r>
        <w:t xml:space="preserve"> </w:t>
      </w:r>
      <w:r>
        <w:rPr>
          <w:i/>
          <w:iCs/>
        </w:rPr>
        <w:t xml:space="preserve">Drosophila</w:t>
      </w:r>
      <w:r>
        <w:t xml:space="preserve"> </w:t>
      </w:r>
      <w:r>
        <w:t xml:space="preserve">(fly) and</w:t>
      </w:r>
      <w:r>
        <w:t xml:space="preserve"> </w:t>
      </w:r>
      <w:r>
        <w:rPr>
          <w:i/>
          <w:iCs/>
        </w:rPr>
        <w:t xml:space="preserve">Caenorhabditis elegans</w:t>
      </w:r>
      <w:r>
        <w:t xml:space="preserve"> </w:t>
      </w:r>
      <w:r>
        <w:t xml:space="preserve">(worm), underscoring its evolutionary conservation (newton2003regulationofthe pages 1-2, unknownauthors2019deregulationofprotein pages 148-152).</w:t>
      </w:r>
    </w:p>
    <w:bookmarkEnd w:id="9"/>
    <w:bookmarkStart w:id="10" w:name="reaction-catalyzed"/>
    <w:p>
      <w:pPr>
        <w:pStyle w:val="Heading2"/>
      </w:pPr>
      <w:r>
        <w:t xml:space="preserve">Reaction Catalyzed</w:t>
      </w:r>
    </w:p>
    <w:p>
      <w:pPr>
        <w:pStyle w:val="FirstParagraph"/>
      </w:pPr>
      <w:r>
        <w:t xml:space="preserve">PKCα is a serine/threonine-protein kinase that catalyzes the following chemical reaction: ATP + [protein]-L-serine/threonine → ADP + phosphorylated [protein]-L-serine/threonine (singh2017proteinkinasecα pages 1-2, unknownauthors2019deregulationofprotein pages 148-152, unknownauthors2018functionalroleof pages 20-27). The catalytic turnover rate is approximately a few reactions per second (newton2018proteinkinasec pages 3-5).</w:t>
      </w:r>
    </w:p>
    <w:bookmarkEnd w:id="10"/>
    <w:bookmarkStart w:id="11" w:name="cofactor-requirements"/>
    <w:p>
      <w:pPr>
        <w:pStyle w:val="Heading2"/>
      </w:pPr>
      <w:r>
        <w:t xml:space="preserve">Cofactor Requirements</w:t>
      </w:r>
    </w:p>
    <w:p>
      <w:pPr>
        <w:pStyle w:val="FirstParagraph"/>
      </w:pPr>
      <w:r>
        <w:t xml:space="preserve">As a conventional PKC, activation of PKCα requires Ca²⁺, the lipid second messenger diacylglycerol (DAG), and phospholipids, particularly phosphatidylserine (PS) (newton2010proteinkinasec pages 1-2, newton2018proteinkinasec pages 1-3, silnitsky2023anupdateon pages 3-5). Its catalytic activity is also dependent on Mg²⁺ as a cofactor for ATP binding and catalysis (newton2018proteinkinasec pages 1-3, singh2017proteinkinasecα pages 1-2, unknownauthors2019deregulationofprotein pages 144-148).</w:t>
      </w:r>
    </w:p>
    <w:bookmarkEnd w:id="11"/>
    <w:bookmarkStart w:id="12" w:name="substrate-specificity"/>
    <w:p>
      <w:pPr>
        <w:pStyle w:val="Heading2"/>
      </w:pPr>
      <w:r>
        <w:t xml:space="preserve">Substrate Specificity</w:t>
      </w:r>
    </w:p>
    <w:p>
      <w:pPr>
        <w:pStyle w:val="FirstParagraph"/>
      </w:pPr>
      <w:r>
        <w:t xml:space="preserve">PKCα is a basophilic kinase that phosphorylates serine or threonine residues within a consensus motif characterized by basic residues upstream and hydrophobic residues downstream of the phosphorylation site (johnson2023anatlasof pages 4-4). The consensus sequence logo shows a strong preference for basic residues, especially lysine and arginine, at the P-3 position (johnson2023anatlasof pages 4-4, newton2018proteinkinasec pages 5-6). Positions P-2 and P-1 show less stringent preferences but favor positive or neutral side chains, while positions P+1, P+2, and P+3 tend to prefer hydrophobic or neutral residues (johnson2023anatlasof pages 4-4). The presence of a hydrophobic residue at the P+1 position particularly enhances substrate recognition (newton2018proteinkinasec pages 5-6). A general motif pattern is described as [R/K]-X-[S/T]-X, where X is any amino acid (unknownauthors2019deregulationofprotein pages 148-152).</w:t>
      </w:r>
    </w:p>
    <w:bookmarkEnd w:id="12"/>
    <w:bookmarkStart w:id="13" w:name="structure"/>
    <w:p>
      <w:pPr>
        <w:pStyle w:val="Heading2"/>
      </w:pPr>
      <w:r>
        <w:t xml:space="preserve">Structure</w:t>
      </w:r>
    </w:p>
    <w:p>
      <w:pPr>
        <w:pStyle w:val="FirstParagraph"/>
      </w:pPr>
      <w:r>
        <w:t xml:space="preserve">PKCα consists of an N-terminal regulatory moiety (~35 kDa) linked by a flexible hinge region (V3) to a C-terminal kinase domain (~45 kDa) (newton2018proteinkinasec pages 3-5, singh2017proteinkinasecα pages 2-4). Structural data from crystal structures and AlphaFold models confirm this topology (singh2017proteinkinasecα pages 1-2, unknownauthors2019deregulationofprotein pages 148-152). The regulatory domain contains an autoinhibitory pseudosubstrate segment, tandem C1 domains (C1A and C1B) for binding DAG and phorbol esters, and a C2 domain that binds Ca²⁺ and anionic phospholipids like PIP2 (newton2010proteinkinasec pages 1-2, newton2018proteinkinasec pages 3-5, ron1999newinsightsinto pages 2-3). The catalytic domain contains the ATP- and substrate-binding sites (C3 and C4 regions, respectively) and shares a fold typical of AGC kinases (singh2017proteinkinasecα pages 1-2, altman2016proteinkinasec pages 3-4, silnitsky2023anupdateon pages 5-7). Key structural features of the kinase domain include a conserved C-helix, a hydrophobic spine crucial for catalytic activity, and an activation loop that must be phosphorylated for the enzyme to become catalytically competent (singh2017proteinkinasecα pages 1-2, newton2010proteinkinasec pages 1-2, unknownauthors2019deregulationofprotein pages 148-152).</w:t>
      </w:r>
    </w:p>
    <w:bookmarkEnd w:id="13"/>
    <w:bookmarkStart w:id="14" w:name="regulation"/>
    <w:p>
      <w:pPr>
        <w:pStyle w:val="Heading2"/>
      </w:pPr>
      <w:r>
        <w:t xml:space="preserve">Regulation</w:t>
      </w:r>
    </w:p>
    <w:p>
      <w:pPr>
        <w:pStyle w:val="FirstParagraph"/>
      </w:pPr>
      <w:r>
        <w:t xml:space="preserve">Regulation of PKCα involves allosteric control, autoinhibition, and post-translational modifications (PTMs), primarily phosphorylation (newton2010proteinkinasec pages 1-2, newton2018proteinkinasec pages 1-3). In its inactive state, an N-terminal pseudosubstrate sequence binds to the active site, sterically inhibiting activity (newton2018proteinkinasec pages 1-3, ron1999newinsightsinto pages 2-3). Activation requires the allosteric binding of Ca²⁺ to the C2 domain and DAG to the C1 domain, which displaces the pseudosubstrate and recruits the kinase to the membrane (newton2010proteinkinasec pages 1-2, igumenova2015dynamicsandmembrane pages 3-5). Maturation into a stable, catalytically competent enzyme requires an ordered phosphorylation cascade at three conserved sites, a process assisted by Hsp90 and Cdc37 chaperones (newton2018proteinkinasec pages 5-6, singh2017proteinkinasecα pages 2-4):</w:t>
      </w:r>
      <w:r>
        <w:t xml:space="preserve"> </w:t>
      </w:r>
      <w:r>
        <w:t xml:space="preserve">1.</w:t>
      </w:r>
      <w:r>
        <w:t xml:space="preserve"> </w:t>
      </w:r>
      <w:r>
        <w:rPr>
          <w:b/>
          <w:bCs/>
        </w:rPr>
        <w:t xml:space="preserve">Activation Loop (Thr497):</w:t>
      </w:r>
      <w:r>
        <w:t xml:space="preserve"> </w:t>
      </w:r>
      <w:r>
        <w:t xml:space="preserve">Phosphorylated by phosphoinositide-dependent kinase-1 (PDK-1) (singh2017proteinkinasecα pages 1-2, singh2017proteinkinasecα pages 2-4, unknownauthors2018functionalroleof pages 27-30).</w:t>
      </w:r>
      <w:r>
        <w:t xml:space="preserve"> </w:t>
      </w:r>
      <w:r>
        <w:t xml:space="preserve">2.</w:t>
      </w:r>
      <w:r>
        <w:t xml:space="preserve"> </w:t>
      </w:r>
      <w:r>
        <w:rPr>
          <w:b/>
          <w:bCs/>
        </w:rPr>
        <w:t xml:space="preserve">Turn Motif (Thr638):</w:t>
      </w:r>
      <w:r>
        <w:t xml:space="preserve"> </w:t>
      </w:r>
      <w:r>
        <w:t xml:space="preserve">Phosphorylation is regulated by mTORC2 (silnitsky2023anupdateon pages 5-7, singh2017proteinkinasecα pages 2-4, unknownauthors2018functionalroleof pages 27-30).</w:t>
      </w:r>
      <w:r>
        <w:t xml:space="preserve"> </w:t>
      </w:r>
      <w:r>
        <w:t xml:space="preserve">3.</w:t>
      </w:r>
      <w:r>
        <w:t xml:space="preserve"> </w:t>
      </w:r>
      <w:r>
        <w:rPr>
          <w:b/>
          <w:bCs/>
        </w:rPr>
        <w:t xml:space="preserve">Hydrophobic Motif (Ser657):</w:t>
      </w:r>
      <w:r>
        <w:t xml:space="preserve"> </w:t>
      </w:r>
      <w:r>
        <w:t xml:space="preserve">Undergoes autophosphorylation (singh2017proteinkinasecα pages 1-2, singh2017proteinkinasecα pages 2-4).</w:t>
      </w:r>
      <w:r>
        <w:t xml:space="preserve"> </w:t>
      </w:r>
      <w:r>
        <w:t xml:space="preserve">Prolonged activation leads to dephosphorylation by PHLPP phosphatases and subsequent degradation (unknownauthors2019deregulationofprotein pages 22-26, unknownauthors2019deregulationofprotein pages 148-152).</w:t>
      </w:r>
    </w:p>
    <w:bookmarkEnd w:id="14"/>
    <w:bookmarkStart w:id="15" w:name="function"/>
    <w:p>
      <w:pPr>
        <w:pStyle w:val="Heading2"/>
      </w:pPr>
      <w:r>
        <w:t xml:space="preserve">Function</w:t>
      </w:r>
    </w:p>
    <w:p>
      <w:pPr>
        <w:pStyle w:val="FirstParagraph"/>
      </w:pPr>
      <w:r>
        <w:t xml:space="preserve">PKCα is a broadly expressed kinase that functions as a critical transducer in signaling pathways governing cell proliferation, apoptosis, migration, and differentiation (singh2017proteinkinasecα pages 1-2, unknownauthors2019deregulationofprotein pages 144-148). It is highly expressed in the brain, particularly in neurons and glia of the hippocampus and cerebral cortex (unknownauthors2019deregulationofprotein pages 22-26).</w:t>
      </w:r>
      <w:r>
        <w:t xml:space="preserve"> </w:t>
      </w:r>
      <w:r>
        <w:t xml:space="preserve">*</w:t>
      </w:r>
      <w:r>
        <w:t xml:space="preserve"> </w:t>
      </w:r>
      <w:r>
        <w:rPr>
          <w:b/>
          <w:bCs/>
        </w:rPr>
        <w:t xml:space="preserve">Upstream/Downstream Signaling:</w:t>
      </w:r>
      <w:r>
        <w:t xml:space="preserve"> </w:t>
      </w:r>
      <w:r>
        <w:t xml:space="preserve">PKCα is activated downstream of Gq-coupled receptor-mediated phospholipase C (PLC) activation, which generates DAG and mobilizes Ca²⁺ (newton2018proteinkinasec pages 1-3, unknownauthors2019deregulationofprotein pages 22-26). Its downstream targets include RAF1, which activates the MAPK/ERK cascade, and the oncoprotein K-Ras, which PKCα negatively regulates via phosphorylation (unknownauthors2019deregulationofprotein pages 22-26, unknownauthors2019deregulationofprotein pages 144-148). Other substrates include MARCKS, which regulates PIP2 levels and actin dynamics (unknownauthors2019deregulationofprotein pages 31-35).</w:t>
      </w:r>
      <w:r>
        <w:t xml:space="preserve"> </w:t>
      </w:r>
      <w:r>
        <w:t xml:space="preserve">*</w:t>
      </w:r>
      <w:r>
        <w:t xml:space="preserve"> </w:t>
      </w:r>
      <w:r>
        <w:rPr>
          <w:b/>
          <w:bCs/>
        </w:rPr>
        <w:t xml:space="preserve">Interacting Partners:</w:t>
      </w:r>
      <w:r>
        <w:t xml:space="preserve"> </w:t>
      </w:r>
      <w:r>
        <w:t xml:space="preserve">Upon activation, PKCα translocates to cellular compartments where its activity is localized by scaffolding proteins such as Receptors for Activated C Kinase (RACKs) (singh2017proteinkinasecα pages 2-4). It also interacts with proteins containing PDZ domains, including PICK1 and DLG1, via a PDZ ligand on its C-terminus (unknownauthors2019deregulationofprotein pages 148-152, unknownauthors2019deregulationofprotein pages 22-26).</w:t>
      </w:r>
    </w:p>
    <w:bookmarkEnd w:id="15"/>
    <w:bookmarkStart w:id="16" w:name="inhibitors"/>
    <w:p>
      <w:pPr>
        <w:pStyle w:val="Heading2"/>
      </w:pPr>
      <w:r>
        <w:t xml:space="preserve">Inhibitors</w:t>
      </w:r>
    </w:p>
    <w:p>
      <w:pPr>
        <w:pStyle w:val="FirstParagraph"/>
      </w:pPr>
      <w:r>
        <w:t xml:space="preserve">PKCα can be modulated by various experimental compounds. Activators include phorbol esters (e.g., PMA, PDBu) and DAG analogs (e.g., DiC8), which bind the C1 domain and mimic DAG (newton2010proteinkinasec pages 1-2, unknownauthors2018functionalroleof pages 27-30). Bryostatin-1 also binds the C1 domain and can cause PKCα downregulation (unknownauthors2018functionalroleof pages 27-30, unknownauthors2019deregulationofprotein pages 22-26). Experimental inhibitors include bisindolylmaleimides such as Gö6976 (selective for conventional PKCs) and Gö6983 (inhibits conventional and novel PKCs), as well as Bisindolylmaleimide IV (BisIV), which inhibits scaffold-bound PKCα (newton2018proteinkinasec pages 5-6, unknownauthors2019deregulationofprotein pages 31-35). Other small molecule inhibitors that target the ATP-competitive site include Midostaurin and Riluzole (silnitsky2023anupdateon pages 19-21).</w:t>
      </w:r>
    </w:p>
    <w:bookmarkEnd w:id="16"/>
    <w:bookmarkStart w:id="17" w:name="other-comments"/>
    <w:p>
      <w:pPr>
        <w:pStyle w:val="Heading2"/>
      </w:pPr>
      <w:r>
        <w:t xml:space="preserve">Other Comments</w:t>
      </w:r>
    </w:p>
    <w:p>
      <w:pPr>
        <w:pStyle w:val="FirstParagraph"/>
      </w:pPr>
      <w:r>
        <w:t xml:space="preserve">Dysregulation of PKCα signaling is associated with numerous pathologies, with its role being highly context-dependent (igumenova2015dynamicsandmembrane pages 18-20). It is implicated in cancer, cardiac hypertrophy, diabetic complications, hypertension, and mood disorders (igumenova2015dynamicsandmembrane pages 18-20, silnitsky2023anupdateon pages 19-21). Loss-of-function is often associated with cancer, suggesting a tumor-suppressive role, whereas gain-of-function is linked to neurodegenerative diseases like Alzheimer’s disease (newton2018proteinkinasec pages 1-3, unknownauthors2019deregulationofprotein pages 144-148). Germline gain-of-function mutations (e.g., M489V) enhance kinase activity and are associated with Alzheimer’s disease pathology by increasing phosphorylation of substrates like MARCKS (unknownauthors2019deregulationofprotein pages 31-35). Somatic loss-of-function mutations are found in various cancers (newton2018proteinkinasec pages 1-3).</w:t>
      </w:r>
    </w:p>
    <w:p>
      <w:pPr>
        <w:pStyle w:val="BodyText"/>
      </w:pPr>
      <w:r>
        <w:t xml:space="preserve">References</w:t>
      </w:r>
    </w:p>
    <w:p>
      <w:pPr>
        <w:numPr>
          <w:ilvl w:val="0"/>
          <w:numId w:val="1001"/>
        </w:numPr>
      </w:pPr>
      <w:r>
        <w:t xml:space="preserve">(igumenova2015dynamicsandmembrane pages 18-20): Tatyana I. Igumenova. Dynamics and membrane interactions of protein kinase c. Biochemistry, 54:4953-4968, Aug 2015. URL: https://doi.org/10.1021/acs.biochem.5b00565, doi:10.1021/acs.biochem.5b00565. This article has 111 citations and is from a peer-reviewed journal.</w:t>
      </w:r>
    </w:p>
    <w:p>
      <w:pPr>
        <w:numPr>
          <w:ilvl w:val="0"/>
          <w:numId w:val="1001"/>
        </w:numPr>
      </w:pPr>
      <w:r>
        <w:t xml:space="preserve">(newton2010proteinkinasec pages 1-2): A. Newton. Protein kinase c: poised to signal. American journal of physiology. Endocrinology and metabolism, 298 3:E395-402, Mar 2010. URL: https://doi.org/10.1152/ajpendo.00477.2009, doi:10.1152/ajpendo.00477.2009. This article has 651 citations.</w:t>
      </w:r>
    </w:p>
    <w:p>
      <w:pPr>
        <w:numPr>
          <w:ilvl w:val="0"/>
          <w:numId w:val="1001"/>
        </w:numPr>
      </w:pPr>
      <w:r>
        <w:t xml:space="preserve">(newton2018proteinkinasec pages 1-3): Alexandra C. Newton. Protein kinase c: perfectly balanced. Critical Reviews in Biochemistry and Molecular Biology, 53:208-230, Mar 2018. URL: https://doi.org/10.1080/10409238.2018.1442408, doi:10.1080/10409238.2018.1442408. This article has 324 citations and is from a peer-reviewed journal.</w:t>
      </w:r>
    </w:p>
    <w:p>
      <w:pPr>
        <w:numPr>
          <w:ilvl w:val="0"/>
          <w:numId w:val="1001"/>
        </w:numPr>
      </w:pPr>
      <w:r>
        <w:t xml:space="preserve">(newton2018proteinkinasec pages 3-5): Alexandra C. Newton. Protein kinase c: perfectly balanced. Critical Reviews in Biochemistry and Molecular Biology, 53:208-230, Mar 2018. URL: https://doi.org/10.1080/10409238.2018.1442408, doi:10.1080/10409238.2018.1442408. This article has 324 citations and is from a peer-reviewed journal.</w:t>
      </w:r>
    </w:p>
    <w:p>
      <w:pPr>
        <w:numPr>
          <w:ilvl w:val="0"/>
          <w:numId w:val="1001"/>
        </w:numPr>
      </w:pPr>
      <w:r>
        <w:t xml:space="preserve">(newton2018proteinkinasec pages 5-6): Alexandra C. Newton. Protein kinase c: perfectly balanced. Critical Reviews in Biochemistry and Molecular Biology, 53:208-230, Mar 2018. URL: https://doi.org/10.1080/10409238.2018.1442408, doi:10.1080/10409238.2018.1442408. This article has 324 citations and is from a peer-reviewed journal.</w:t>
      </w:r>
    </w:p>
    <w:p>
      <w:pPr>
        <w:numPr>
          <w:ilvl w:val="0"/>
          <w:numId w:val="1001"/>
        </w:numPr>
      </w:pPr>
      <w:r>
        <w:t xml:space="preserve">(silnitsky2023anupdateon pages 19-21): Shmuel Silnitsky, Samuel J. S. Rubin, Mulate Zerihun, and Nir Qvit. An update on protein kinases as therapeutic targets—part i: protein kinase c activation and its role in cancer and cardiovascular diseases. International Journal of Molecular Sciences, Dec 2023. URL: https://doi.org/10.3390/ijms242417600, doi:10.3390/ijms242417600. This article has 25 citations and is from a peer-reviewed journal.</w:t>
      </w:r>
    </w:p>
    <w:p>
      <w:pPr>
        <w:numPr>
          <w:ilvl w:val="0"/>
          <w:numId w:val="1001"/>
        </w:numPr>
      </w:pPr>
      <w:r>
        <w:t xml:space="preserve">(silnitsky2023anupdateon pages 5-7): Shmuel Silnitsky, Samuel J. S. Rubin, Mulate Zerihun, and Nir Qvit. An update on protein kinases as therapeutic targets—part i: protein kinase c activation and its role in cancer and cardiovascular diseases. International Journal of Molecular Sciences, Dec 2023. URL: https://doi.org/10.3390/ijms242417600, doi:10.3390/ijms242417600. This article has 25 citations and is from a peer-reviewed journal.</w:t>
      </w:r>
    </w:p>
    <w:p>
      <w:pPr>
        <w:numPr>
          <w:ilvl w:val="0"/>
          <w:numId w:val="1001"/>
        </w:numPr>
      </w:pPr>
      <w:r>
        <w:t xml:space="preserve">(singh2017proteinkinasecα pages 1-2): R. Singh, S. Kumar, P. K. Gautam, M. Tomar, P. Verma, S. P. Singh, S. Kumar, and A. Acharya. Protein kinase c-α and the regulation of diverse cell responses. Biomolecular Concepts, 8:143-153, Sep 2017. URL: https://doi.org/10.1515/bmc-2017-0005, doi:10.1515/bmc-2017-0005. This article has 90 citations and is from a peer-reviewed journal.</w:t>
      </w:r>
    </w:p>
    <w:p>
      <w:pPr>
        <w:numPr>
          <w:ilvl w:val="0"/>
          <w:numId w:val="1001"/>
        </w:numPr>
      </w:pPr>
      <w:r>
        <w:t xml:space="preserve">(singh2017proteinkinasecα pages 2-4): R. Singh, S. Kumar, P. K. Gautam, M. Tomar, P. Verma, S. P. Singh, S. Kumar, and A. Acharya. Protein kinase c-α and the regulation of diverse cell responses. Biomolecular Concepts, 8:143-153, Sep 2017. URL: https://doi.org/10.1515/bmc-2017-0005, doi:10.1515/bmc-2017-0005. This article has 90 citations and is from a peer-reviewed journal.</w:t>
      </w:r>
    </w:p>
    <w:p>
      <w:pPr>
        <w:numPr>
          <w:ilvl w:val="0"/>
          <w:numId w:val="1001"/>
        </w:numPr>
      </w:pPr>
      <w:r>
        <w:t xml:space="preserve">(unknownauthors2018functionalroleof pages 20-27): Functional Role of Protein Kinase C Alpha in Endometrial Carcinogenesis</w:t>
      </w:r>
    </w:p>
    <w:p>
      <w:pPr>
        <w:numPr>
          <w:ilvl w:val="0"/>
          <w:numId w:val="1001"/>
        </w:numPr>
      </w:pPr>
      <w:r>
        <w:t xml:space="preserve">(unknownauthors2018functionalroleof pages 27-30): Functional Role of Protein Kinase C Alpha in Endometrial Carcinogenesis</w:t>
      </w:r>
    </w:p>
    <w:p>
      <w:pPr>
        <w:numPr>
          <w:ilvl w:val="0"/>
          <w:numId w:val="1001"/>
        </w:numPr>
      </w:pPr>
      <w:r>
        <w:t xml:space="preserve">(unknownauthors2019deregulationofprotein pages 144-148): Deregulation of Protein Kinase C alpha Signaling in Neurodegenerative Disease</w:t>
      </w:r>
    </w:p>
    <w:p>
      <w:pPr>
        <w:numPr>
          <w:ilvl w:val="0"/>
          <w:numId w:val="1001"/>
        </w:numPr>
      </w:pPr>
      <w:r>
        <w:t xml:space="preserve">(unknownauthors2019deregulationofprotein pages 148-152): Deregulation of Protein Kinase C alpha Signaling in Neurodegenerative Disease</w:t>
      </w:r>
    </w:p>
    <w:p>
      <w:pPr>
        <w:numPr>
          <w:ilvl w:val="0"/>
          <w:numId w:val="1001"/>
        </w:numPr>
      </w:pPr>
      <w:r>
        <w:t xml:space="preserve">(unknownauthors2019deregulationofprotein pages 22-26): Deregulation of Protein Kinase C alpha Signaling in Neurodegenerative Disease</w:t>
      </w:r>
    </w:p>
    <w:p>
      <w:pPr>
        <w:numPr>
          <w:ilvl w:val="0"/>
          <w:numId w:val="1001"/>
        </w:numPr>
      </w:pPr>
      <w:r>
        <w:t xml:space="preserve">(unknownauthors2019deregulationofprotein pages 31-35): Deregulation of Protein Kinase C alpha Signaling in Neurodegenerative Disease</w:t>
      </w:r>
    </w:p>
    <w:p>
      <w:pPr>
        <w:numPr>
          <w:ilvl w:val="0"/>
          <w:numId w:val="1001"/>
        </w:numPr>
      </w:pPr>
      <w:r>
        <w:t xml:space="preserve">(altman2016proteinkinasec pages 3-4): Amnon Altman and Kok-Fai Kong. Protein kinase c enzymes in the hematopoietic and immune systems. Annual Review of Immunology, 34:511-538, May 2016. URL: https://doi.org/10.1146/annurev-immunol-041015-055347, doi:10.1146/annurev-immunol-041015-055347. This article has 53 citations and is from a highest quality peer-reviewed journal.</w:t>
      </w:r>
    </w:p>
    <w:p>
      <w:pPr>
        <w:numPr>
          <w:ilvl w:val="0"/>
          <w:numId w:val="1001"/>
        </w:numPr>
      </w:pPr>
      <w:r>
        <w:t xml:space="preserve">(igumenova2015dynamicsandmembrane pages 3-5): Tatyana I. Igumenova. Dynamics and membrane interactions of protein kinase c. Biochemistry, 54:4953-4968, Aug 2015. URL: https://doi.org/10.1021/acs.biochem.5b00565, doi:10.1021/acs.biochem.5b00565. This article has 111 citations and is from a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(newton2003regulationofthe pages 1-2): A. Newton. Regulation of the abc kinases by phosphorylation: protein kinase c as a paradigm. The Biochemical journal, 370 Pt 2:361-71, Mar 2003. URL: https://doi.org/10.1042/bj20021626, doi:10.1042/bj20021626. This article has 1072 citations.</w:t>
      </w:r>
    </w:p>
    <w:p>
      <w:pPr>
        <w:numPr>
          <w:ilvl w:val="0"/>
          <w:numId w:val="1001"/>
        </w:numPr>
      </w:pPr>
      <w:r>
        <w:t xml:space="preserve">(ron1999newinsightsinto pages 2-3): D. Ron and M. Kazanietz. New insights into the regulation of protein kinase c and novel phorbol ester receptors. The FASEB Journal, 13:1658-1676, Oct 1999. URL: https://doi.org/10.1096/fasebj.13.13.1658, doi:10.1096/fasebj.13.13.1658. This article has 795 citations.</w:t>
      </w:r>
    </w:p>
    <w:p>
      <w:pPr>
        <w:numPr>
          <w:ilvl w:val="0"/>
          <w:numId w:val="1001"/>
        </w:numPr>
      </w:pPr>
      <w:r>
        <w:t xml:space="preserve">(silnitsky2023anupdateon pages 3-5): Shmuel Silnitsky, Samuel J. S. Rubin, Mulate Zerihun, and Nir Qvit. An update on protein kinases as therapeutic targets—part i: protein kinase c activation and its role in cancer and cardiovascular diseases. International Journal of Molecular Sciences, Dec 2023. URL: https://doi.org/10.3390/ijms242417600, doi:10.3390/ijms242417600. This article has 25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2025-07-02T20:27:56Z</dcterms:created>
  <dcterms:modified xsi:type="dcterms:W3CDTF">2025-07-02T20:27:56Z</dcterms:modified>
</cp:coreProperties>
</file>

<file path=docProps/custom.xml><?xml version="1.0" encoding="utf-8"?>
<Properties xmlns="http://schemas.openxmlformats.org/officeDocument/2006/custom-properties" xmlns:vt="http://schemas.openxmlformats.org/officeDocument/2006/docPropsVTypes"/>
</file>