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placement: CMGC group, Ime2/MAK/ICK subfamily; catalytic domain most similar to CDK2 and ERK2 (fu2006identificationofyinyang pages 1-2, hanks2003genomicanalysisof pages 5-6).</w:t>
      </w:r>
      <w:r>
        <w:br/>
      </w:r>
      <w:r>
        <w:t xml:space="preserve">• Human paralogs: ICK/MRK (&gt;90 % identity in kinase core) and the related CDKL5; MAK and ICK exhibit functional overlap in ciliary regulation (fu2006identificationofyinyang pages 14-15, chaya2024ccrkmakickkinasesignaling pages 5-8).</w:t>
      </w:r>
      <w:r>
        <w:br/>
      </w:r>
      <w:r>
        <w:t xml:space="preserve">• Documented orthologs: Saccharomyces cerevisiae Ime2p, Schizosaccharomyces pombe Mde3/Pit1, Caenorhabditis elegans DYF-5, Chlamydomonas reinhardtii and Leishmania mexicana MAK homologs, and Mus musculus Mak (fu2006identificationofyinyang pages 1-2, ozgul2011exomesequencingand pages 7-9).</w:t>
      </w:r>
    </w:p>
    <w:bookmarkEnd w:id="9"/>
    <w:bookmarkStart w:id="10" w:name="reaction-catalyzed"/>
    <w:p>
      <w:pPr>
        <w:pStyle w:val="Heading2"/>
      </w:pPr>
      <w:r>
        <w:t xml:space="preserve">Reaction Catalyzed</w:t>
      </w:r>
    </w:p>
    <w:p>
      <w:pPr>
        <w:pStyle w:val="FirstParagraph"/>
      </w:pPr>
      <w:r>
        <w:t xml:space="preserve">ATP + protein-Ser/Thr ⇌ ADP + protein-Ser/Thr-phosphate (fu2006identificationofyinyang pages 1-2).</w:t>
      </w:r>
    </w:p>
    <w:bookmarkEnd w:id="10"/>
    <w:bookmarkStart w:id="11" w:name="cofactor-requirements"/>
    <w:p>
      <w:pPr>
        <w:pStyle w:val="Heading2"/>
      </w:pPr>
      <w:r>
        <w:t xml:space="preserve">Cofactor Requirements</w:t>
      </w:r>
    </w:p>
    <w:p>
      <w:pPr>
        <w:pStyle w:val="FirstParagraph"/>
      </w:pPr>
      <w:r>
        <w:t xml:space="preserve">Mg²⁺ is required for phosphotransfer activity; in-vitro kinase assays were carried out in Mg²⁺-containing buffers (fu2006identificationofyinyang pages 1-2).</w:t>
      </w:r>
    </w:p>
    <w:bookmarkEnd w:id="11"/>
    <w:bookmarkStart w:id="12" w:name="substrate-specificity"/>
    <w:p>
      <w:pPr>
        <w:pStyle w:val="Heading2"/>
      </w:pPr>
      <w:r>
        <w:t xml:space="preserve">Substrate Specificity</w:t>
      </w:r>
    </w:p>
    <w:p>
      <w:pPr>
        <w:pStyle w:val="FirstParagraph"/>
      </w:pPr>
      <w:r>
        <w:t xml:space="preserve">• Consensus motif: R-P-X-S/T-P, with an obligatory Arg at −3 and preferred Pro at −2/−1; Pro at +2 is tolerated but not essential (fu2006identificationofyinyang pages 14-15).</w:t>
      </w:r>
      <w:r>
        <w:br/>
      </w:r>
      <w:r>
        <w:t xml:space="preserve">• Verified protein substrates:</w:t>
      </w:r>
      <w:r>
        <w:br/>
      </w:r>
      <w:r>
        <w:t xml:space="preserve">– CDH1/FZR1, multiple RPX-S/T sites in its N-terminus (wang2012malegermcellassociated pages 3-4).</w:t>
      </w:r>
      <w:r>
        <w:br/>
      </w:r>
      <w:r>
        <w:t xml:space="preserve">– Scythe/BAT3 Thr1080 (fu2006identificationofyinyang pages 14-15).</w:t>
      </w:r>
    </w:p>
    <w:bookmarkEnd w:id="12"/>
    <w:bookmarkStart w:id="13" w:name="structure"/>
    <w:p>
      <w:pPr>
        <w:pStyle w:val="Heading2"/>
      </w:pPr>
      <w:r>
        <w:t xml:space="preserve">Structure</w:t>
      </w:r>
    </w:p>
    <w:p>
      <w:pPr>
        <w:pStyle w:val="FirstParagraph"/>
      </w:pPr>
      <w:r>
        <w:t xml:space="preserve">• Domain organisation: N-terminal protein kinase domain (~1-300) harbouring the TDY activation motif; C-terminal Pro/Gln-rich regulatory tail (~301-622) (matsushime1990anovelmammalian pages 4-5, wang2012malegermcellassociated pages 3-4).</w:t>
      </w:r>
      <w:r>
        <w:br/>
      </w:r>
      <w:r>
        <w:t xml:space="preserve">• Key catalytic motifs: VAIK Lys essential for ATP anchoring, HRD catalytic triad, and TDY activation loop (Thr157-Asp158-Tyr159) (wang2012malegermcellassociated pages 2-3).</w:t>
      </w:r>
      <w:r>
        <w:br/>
      </w:r>
      <w:r>
        <w:t xml:space="preserve">• 3-D information: AlphaFold model AF-P20794-F1 predicts a canonical bilobed CMGC fold with an ordered activation segment; no experimental crystal structure is available (chaya2024ccrkmakickkinasesignaling pages 42-45).</w:t>
      </w:r>
      <w:r>
        <w:br/>
      </w:r>
      <w:r>
        <w:t xml:space="preserve">• Regulatory elements: Activation loop phosphorylation of Thr157 and Tyr159 is obligatory for catalytic activity; additional regulatory domains have not been described (fu2006identificationofyinyang pages 1-2).</w:t>
      </w:r>
    </w:p>
    <w:bookmarkEnd w:id="13"/>
    <w:bookmarkStart w:id="14" w:name="regulation"/>
    <w:p>
      <w:pPr>
        <w:pStyle w:val="Heading2"/>
      </w:pPr>
      <w:r>
        <w:t xml:space="preserve">Regulation</w:t>
      </w:r>
    </w:p>
    <w:p>
      <w:pPr>
        <w:pStyle w:val="FirstParagraph"/>
      </w:pPr>
      <w:r>
        <w:t xml:space="preserve">• Activation loop dual phosphorylation – Thr157 by CCRK and Tyr159 by MAK autophosphorylation – activates the kinase (fu2006identificationofyinyang pages 1-2).</w:t>
      </w:r>
      <w:r>
        <w:br/>
      </w:r>
      <w:r>
        <w:t xml:space="preserve">• Dephosphorylation: PP5 removes the Thr157 phosphate, antagonising CCRK-mediated activation (fu2006identificationofyinyang pages 1-2).</w:t>
      </w:r>
      <w:r>
        <w:br/>
      </w:r>
      <w:r>
        <w:t xml:space="preserve">• Cell-cycle dynamics: TDY phosphorylation peaks at G2/early M and declines at mitotic exit (wang2012malegermcellassociated pages 2-3).</w:t>
      </w:r>
      <w:r>
        <w:br/>
      </w:r>
      <w:r>
        <w:t xml:space="preserve">• Subcellular redistribution: Nuclear in interphase, associates with spindle poles, centrosomes and midbody during mitosis, and accumulates at ciliary tips in photoreceptors (wang2012malegermcellassociated pages 1-2, chaya2024ccrkmakickkinasesignaling pages 5-8).</w:t>
      </w:r>
    </w:p>
    <w:bookmarkEnd w:id="14"/>
    <w:bookmarkStart w:id="15" w:name="function"/>
    <w:p>
      <w:pPr>
        <w:pStyle w:val="Heading2"/>
      </w:pPr>
      <w:r>
        <w:t xml:space="preserve">Function</w:t>
      </w:r>
    </w:p>
    <w:p>
      <w:pPr>
        <w:pStyle w:val="FirstParagraph"/>
      </w:pPr>
      <w:r>
        <w:t xml:space="preserve">• Expression: Highly expressed in pachytene and later testicular germ cells, retinal photoreceptors (long isoform with exon 13), and over-expressed in prostate cancer cells (matsushime1990anovelmammalian pages 1-2, ozgul2011exomesequencingand pages 7-9, wang2012malegermcellassociated pages 6-7).</w:t>
      </w:r>
      <w:r>
        <w:br/>
      </w:r>
      <w:r>
        <w:t xml:space="preserve">• Ciliogenesis: Localises to ciliary tips, constrains axonemal length and governs IFT turnaround downstream of CCRK, critical for long-term photoreceptor survival (chaya2024ccrkmakickkinasesignaling pages 5-8, chaya2024ccrkmakickkinasesignaling pages 42-45).</w:t>
      </w:r>
      <w:r>
        <w:br/>
      </w:r>
      <w:r>
        <w:t xml:space="preserve">• Cell-cycle control: Phosphorylates CDH1/FZR1, suppresses APC/C^CDH1 activity, stabilises Aurora A and PLK1, promoting centrosome amplification and chromosome lagging (wang2012malegermcellassociated pages 3-4, wang2012malegermcellassociated pages 6-7).</w:t>
      </w:r>
      <w:r>
        <w:br/>
      </w:r>
      <w:r>
        <w:t xml:space="preserve">• Transcriptional signalling: Acts as a co-activator of androgen receptor to enhance androgen-dependent proliferation (wang2012malegermcellassociated pages 1-2).</w:t>
      </w:r>
      <w:r>
        <w:br/>
      </w:r>
      <w:r>
        <w:t xml:space="preserve">• Germ-cell survival: Phosphorylates Scythe/BAT3 at Thr1080, a modification linked to anti-apoptotic regulation (fu2006identificationofyinyang pages 14-15).</w:t>
      </w:r>
    </w:p>
    <w:bookmarkEnd w:id="15"/>
    <w:bookmarkStart w:id="16" w:name="other-comments"/>
    <w:p>
      <w:pPr>
        <w:pStyle w:val="Heading2"/>
      </w:pPr>
      <w:r>
        <w:t xml:space="preserve">Other Comments</w:t>
      </w:r>
    </w:p>
    <w:p>
      <w:pPr>
        <w:pStyle w:val="FirstParagraph"/>
      </w:pPr>
      <w:r>
        <w:t xml:space="preserve">• Retinitis pigmentosa: Recessive loss-of-function mutations within the kinase domain (e.g., Gly52, Asn171) abolish activity and cause progressive photoreceptor degeneration (ozgul2011exomesequencingand pages 7-9).</w:t>
      </w:r>
      <w:r>
        <w:br/>
      </w:r>
      <w:r>
        <w:t xml:space="preserve">• Oncology: MAK over-expression is frequent in primary and castration-resistant prostate cancer and contributes to chromosomal instability via APC/C^CDH1 inhibition (wang2012malegermcellassociated pages 6-7).</w:t>
      </w:r>
    </w:p>
    <w:p>
      <w:pPr>
        <w:pStyle w:val="BodyText"/>
      </w:pPr>
      <w:r>
        <w:t xml:space="preserve">References</w:t>
      </w:r>
    </w:p>
    <w:p>
      <w:pPr>
        <w:numPr>
          <w:ilvl w:val="0"/>
          <w:numId w:val="1001"/>
        </w:numPr>
      </w:pPr>
      <w:r>
        <w:t xml:space="preserve">(chaya2024ccrkmakickkinasesignaling pages 42-45): Taro Chaya, Yamato Maeda, Ryotaro Tsutsumi, Makoto Ando, Yujie Ma, Naoko Kajimura, Teruyuki Tanaka, and Takahisa Furukawa. Ccrk-mak/ick kinase signaling axis is a ciliary transport regulator essential for retinal photoreceptor maintenance. BioRxiv, May 2024. URL: https://doi.org/10.1101/2024.05.24.595694, doi:10.1101/2024.05.24.595694. This article has 0 citations.</w:t>
      </w:r>
    </w:p>
    <w:p>
      <w:pPr>
        <w:numPr>
          <w:ilvl w:val="0"/>
          <w:numId w:val="1001"/>
        </w:numPr>
      </w:pPr>
      <w:r>
        <w:t xml:space="preserve">(chaya2024ccrkmakickkinasesignaling pages 5-8): Taro Chaya, Yamato Maeda, Ryotaro Tsutsumi, Makoto Ando, Yujie Ma, Naoko Kajimura, Teruyuki Tanaka, and Takahisa Furukawa. Ccrk-mak/ick kinase signaling axis is a ciliary transport regulator essential for retinal photoreceptor maintenance. BioRxiv, May 2024. URL: https://doi.org/10.1101/2024.05.24.595694, doi:10.1101/2024.05.24.595694. This article has 0 citations.</w:t>
      </w:r>
    </w:p>
    <w:p>
      <w:pPr>
        <w:numPr>
          <w:ilvl w:val="0"/>
          <w:numId w:val="1001"/>
        </w:numPr>
      </w:pPr>
      <w:r>
        <w:t xml:space="preserve">(fu2006identificationofyinyang pages 1-2):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92 citations and is from a domain leading peer-reviewed journal.</w:t>
      </w:r>
    </w:p>
    <w:p>
      <w:pPr>
        <w:numPr>
          <w:ilvl w:val="0"/>
          <w:numId w:val="1001"/>
        </w:numPr>
      </w:pPr>
      <w:r>
        <w:t xml:space="preserve">(fu2006identificationofyinyang pages 14-15):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92 citations and is from a domain leading peer-reviewed journal.</w:t>
      </w:r>
    </w:p>
    <w:p>
      <w:pPr>
        <w:numPr>
          <w:ilvl w:val="0"/>
          <w:numId w:val="1001"/>
        </w:numPr>
      </w:pPr>
      <w:r>
        <w:t xml:space="preserve">(ozgul2011exomesequencingand pages 7-9): R. Özgül, Anna Siemiątkowska, D. Yücel, Connie Myers, R. Collin, Marijke N. Zonneveld, Avigail Beryozkin, E. Banin, C. Hoyng, L. Ingeborgh van den Born, R. Bose, W. Shen, D. Sharon, F. Cremers, B. J. Klevering, Anneke I. den Hollander, and J. Corbo. Exome sequencing and cis-regulatory mapping identify mutations in mak, a gene encoding a regulator of ciliary length, as a cause of retinitis pigmentosa. American journal of human genetics, 89 2:253-64, Aug 2011. URL: https://doi.org/10.1016/j.ajhg.2011.07.005, doi:10.1016/j.ajhg.2011.07.005. This article has 123 citations and is from a highest quality peer-reviewed journal.</w:t>
      </w:r>
    </w:p>
    <w:p>
      <w:pPr>
        <w:numPr>
          <w:ilvl w:val="0"/>
          <w:numId w:val="1001"/>
        </w:numPr>
      </w:pPr>
      <w:r>
        <w:t xml:space="preserve">(wang2012malegermcellassociated pages 1-2): Lyu-Yao Wang and H. Kung. Male germ cell-associated kinase is overexpressed in prostate cancer cells and causes mitotic defects via deregulation of apc/ccdh1. Oncogene, 31:2907-2918, Jun 2012. URL: https://doi.org/10.1038/onc.2011.464, doi:10.1038/onc.2011.464. This article has 32 citations and is from a domain leading peer-reviewed journal.</w:t>
      </w:r>
    </w:p>
    <w:p>
      <w:pPr>
        <w:numPr>
          <w:ilvl w:val="0"/>
          <w:numId w:val="1001"/>
        </w:numPr>
      </w:pPr>
      <w:r>
        <w:t xml:space="preserve">(wang2012malegermcellassociated pages 2-3): Lyu-Yao Wang and H. Kung. Male germ cell-associated kinase is overexpressed in prostate cancer cells and causes mitotic defects via deregulation of apc/ccdh1. Oncogene, 31:2907-2918, Jun 2012. URL: https://doi.org/10.1038/onc.2011.464, doi:10.1038/onc.2011.464. This article has 32 citations and is from a domain leading peer-reviewed journal.</w:t>
      </w:r>
    </w:p>
    <w:p>
      <w:pPr>
        <w:numPr>
          <w:ilvl w:val="0"/>
          <w:numId w:val="1001"/>
        </w:numPr>
      </w:pPr>
      <w:r>
        <w:t xml:space="preserve">(wang2012malegermcellassociated pages 3-4): Lyu-Yao Wang and H. Kung. Male germ cell-associated kinase is overexpressed in prostate cancer cells and causes mitotic defects via deregulation of apc/ccdh1. Oncogene, 31:2907-2918, Jun 2012. URL: https://doi.org/10.1038/onc.2011.464, doi:10.1038/onc.2011.464. This article has 32 citations and is from a domain leading peer-reviewed journal.</w:t>
      </w:r>
    </w:p>
    <w:p>
      <w:pPr>
        <w:numPr>
          <w:ilvl w:val="0"/>
          <w:numId w:val="1001"/>
        </w:numPr>
      </w:pPr>
      <w:r>
        <w:t xml:space="preserve">(wang2012malegermcellassociated pages 6-7): Lyu-Yao Wang and H. Kung. Male germ cell-associated kinase is overexpressed in prostate cancer cells and causes mitotic defects via deregulation of apc/ccdh1. Oncogene, 31:2907-2918, Jun 2012. URL: https://doi.org/10.1038/onc.2011.464, doi:10.1038/onc.2011.464. This article has 32 citations and is from a domain leading peer-reviewed journal.</w:t>
      </w:r>
    </w:p>
    <w:p>
      <w:pPr>
        <w:numPr>
          <w:ilvl w:val="0"/>
          <w:numId w:val="1001"/>
        </w:numPr>
      </w:pPr>
      <w:r>
        <w:t xml:space="preserve">(matsushime1990anovelmammalian pages 1-2): Hitoshi Matsushime, Atsushi Jinno, Nobuo Takagi, and Masabumi Shibuya. A novel mammalian protein kinase gene (</w:t>
      </w:r>
      <w:r>
        <w:t xml:space="preserve">mak</w:t>
      </w:r>
      <w:r>
        <w:t xml:space="preserve">)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1"/>
        </w:numPr>
      </w:pPr>
      <w:r>
        <w:t xml:space="preserve">(matsushime1990anovelmammalian pages 4-5): Hitoshi Matsushime, Atsushi Jinno, Nobuo Takagi, and Masabumi Shibuya. A novel mammalian protein kinase gene (</w:t>
      </w:r>
      <w:r>
        <w:t xml:space="preserve">mak</w:t>
      </w:r>
      <w:r>
        <w:t xml:space="preserve">)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1"/>
        </w:numPr>
      </w:pPr>
      <w:r>
        <w:t xml:space="preserve">(hanks2003genomicanalysisof pages 5-6): Steven K Hanks. Genomic analysis of the eukaryotic protein kinase superfamily: a perspective. Genome Biology, 4:111-111, Apr 2003. URL: https://doi.org/10.1186/gb-2003-4-5-111, doi:10.1186/gb-2003-4-5-111. This article has 426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