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eta (PKCη), encoded by PRKCH, is a serine/threonine kinase belonging to the protein kinase C (PKC) family, which is part of the AGC group of kinases (breitkreutz2007proteinkinasec pages 1-2, newton2018proteinkinasec pages 1-3, marrocco2019pkcandpkn pages 1-2). Within the PKC family, PKCη is classified as a novel PKC (nPKC) isoform, a subgroup that also includes PKCδ, PKCε, and PKCθ (breitkreutz2007proteinkinasec pages 1-2, pal2014theuniqueprotein pages 1-2). This classification is based on domain composition and cofactor requirements and aligns with the phylogenetic framework established by Manning et al., 2002 (garciaconcejo2021proteinkinasec pages 1-2, heinisch2018proteinkinasec pages 1-5, basu2019theenigmaticprotein pages 7-9). PKCη shares the greatest homology with PKCε (pal2014theuniqueprotein pages 2-3). Orthologs of PRKCH exist in mouse and rat (littler2006structureofhuman pages 1-2). The human PRKCH gene is located on chromosome 14q22-23, while the mouse ortholog is on chromosome 12 (pal2014theuniqueprotein pages 1-2).</w:t>
      </w:r>
    </w:p>
    <w:bookmarkEnd w:id="9"/>
    <w:bookmarkStart w:id="10" w:name="reaction-catalyzed"/>
    <w:p>
      <w:pPr>
        <w:pStyle w:val="Heading2"/>
      </w:pPr>
      <w:r>
        <w:t xml:space="preserve">Reaction Catalyzed</w:t>
      </w:r>
    </w:p>
    <w:p>
      <w:pPr>
        <w:pStyle w:val="FirstParagraph"/>
      </w:pPr>
      <w:r>
        <w:t xml:space="preserve">PKCη catalyzes the phosphotransferase reaction, which involves the transfer of the γ-phosphate from ATP to the hydroxyl group of serine or threonine residues on substrate proteins (breitkreutz2007proteinkinasec pages 1-2, newton2018proteinkinasec pages 1-3, pal2014theuniqueprotein pages 2-3). The chemical reaction is:</w:t>
      </w:r>
    </w:p>
    <w:p>
      <w:pPr>
        <w:pStyle w:val="BodyText"/>
      </w:pPr>
      <w:r>
        <w:t xml:space="preserve">ATP + a substrate protein → ADP + a phosphoserine/threonine-protein (harper2010diversefunctionsof pages 1-2, silnitsky2023anupdateon pages 3-5).</w:t>
      </w:r>
    </w:p>
    <w:bookmarkEnd w:id="10"/>
    <w:bookmarkStart w:id="11" w:name="cofactor-requirements"/>
    <w:p>
      <w:pPr>
        <w:pStyle w:val="Heading2"/>
      </w:pPr>
      <w:r>
        <w:t xml:space="preserve">Cofactor Requirements</w:t>
      </w:r>
    </w:p>
    <w:p>
      <w:pPr>
        <w:pStyle w:val="FirstParagraph"/>
      </w:pPr>
      <w:r>
        <w:t xml:space="preserve">The catalytic activity of PKCη is calcium (Ca2+)-independent (breitkreutz2007proteinkinasec pages 1-2, pal2014theuniqueprotein pages 1-2, newton2018proteinkinasec pages 1-3). Activation requires the second messenger diacylglycerol (DAG) and acidic phospholipids, particularly phosphatidylserine (PS) (breitkreutz2007proteinkinasec pages 1-2, pal2014theuniqueprotein pages 1-2). Like other kinases, Mg2+ is required as a cofactor for its catalytic activity (newton2018proteinkinasec pages 1-3, newton2018proteinkinasec pages 5-6). Cholesterol sulfate and sulfatide have also been identified as specific activators of PKCη (basu2019theenigmaticprotein pages 1-4, pal2014theuniqueprotein pages 1-2).</w:t>
      </w:r>
    </w:p>
    <w:bookmarkEnd w:id="11"/>
    <w:bookmarkStart w:id="12" w:name="substrate-specificity"/>
    <w:p>
      <w:pPr>
        <w:pStyle w:val="Heading2"/>
      </w:pPr>
      <w:r>
        <w:t xml:space="preserve">Substrate Specificity</w:t>
      </w:r>
    </w:p>
    <w:p>
      <w:pPr>
        <w:pStyle w:val="FirstParagraph"/>
      </w:pPr>
      <w:r>
        <w:t xml:space="preserve">The substrate specificity of PRKCH was determined using a positional scanning peptide array (PSPA) that profiled amino acid preferences from positions -5 to +5 relative to the central serine/threonine phosphorylation site (johnson2023anatlasof pages 1-2). PRKCH is categorized within the basophilic kinase cluster (Cluster 1) (johnson2023anatlasof pages 12-18). Its substrate motif is characterized by a preference for basic residues, such as arginine or lysine, near the phosphorylation site (johnson2023anatlasof pages 12-18). Specifically, PRKCH shows strong preferences for arginine residues at positions -3 and -2 relative to the phosphosite (johnson2023anatlasof pages 12-18). Specificity is also driven by strong negative selection against certain charged residues at specific positions within the motif (johnson2023anatlasof pages 1-2).</w:t>
      </w:r>
    </w:p>
    <w:bookmarkEnd w:id="12"/>
    <w:bookmarkStart w:id="13" w:name="structure"/>
    <w:p>
      <w:pPr>
        <w:pStyle w:val="Heading2"/>
      </w:pPr>
      <w:r>
        <w:t xml:space="preserve">Structure</w:t>
      </w:r>
    </w:p>
    <w:p>
      <w:pPr>
        <w:pStyle w:val="FirstParagraph"/>
      </w:pPr>
      <w:r>
        <w:t xml:space="preserve">PKCη has a modular structure composed of an N-terminal regulatory domain linked via a hinge region to a C-terminal catalytic domain (newton2018proteinkinasec pages 1-3, pal2014theuniqueprotein pages 1-2).</w:t>
      </w:r>
    </w:p>
    <w:p>
      <w:pPr>
        <w:pStyle w:val="BodyText"/>
      </w:pPr>
      <w:r>
        <w:t xml:space="preserve">The</w:t>
      </w:r>
      <w:r>
        <w:t xml:space="preserve"> </w:t>
      </w:r>
      <w:r>
        <w:rPr>
          <w:b/>
          <w:bCs/>
        </w:rPr>
        <w:t xml:space="preserve">regulatory domain</w:t>
      </w:r>
      <w:r>
        <w:t xml:space="preserve"> </w:t>
      </w:r>
      <w:r>
        <w:t xml:space="preserve">contains an autoinhibitory pseudosubstrate sequence, tandem C1 domains (C1A and C1B), and a C2 domain (newton2018proteinkinasec pages 3-5, pal2014theuniqueprotein pages 1-2). The pseudosubstrate sequence is highly divergent among PKC isoforms and maintains the kinase in an inactive state by occupying the catalytic site (pal2014theuniqueprotein pages 1-2). The C1 domains bind DAG and phorbol esters (pal2014theuniqueprotein pages 2-3). The C2 domain lacks key aspartic acid residues for Ca2+ binding, rendering it Ca2+-insensitive; its crystal structure has been solved at 1.75 Å resolution (pal2014theuniqueprotein pages 2-3, littler2006structureofhuman pages 1-2).</w:t>
      </w:r>
    </w:p>
    <w:p>
      <w:pPr>
        <w:pStyle w:val="BodyText"/>
      </w:pPr>
      <w:r>
        <w:t xml:space="preserve">The</w:t>
      </w:r>
      <w:r>
        <w:t xml:space="preserve"> </w:t>
      </w:r>
      <w:r>
        <w:rPr>
          <w:b/>
          <w:bCs/>
        </w:rPr>
        <w:t xml:space="preserve">catalytic domain</w:t>
      </w:r>
      <w:r>
        <w:t xml:space="preserve"> </w:t>
      </w:r>
      <w:r>
        <w:t xml:space="preserve">has a canonical bilobal kinase fold, as shown by the AlphaFold model for human PKCη (littler2006structureofhuman pages 1-2, garciaconcejo2021proteinkinasec pages 1-2). The smaller N-lobe contains the C-helix, which is critical for ATP positioning and catalysis (littler2006structureofhuman pages 1-2). The larger C-lobe contains the catalytic loop, which harbors residues for phosphoryl transfer, and the activation loop, which is essential for regulating kinase activity and substrate access (littler2006structureofhuman pages 1-2, garciaconcejo2021proteinkinasec pages 1-2, basu2019theenigmaticprotein pages 7-9).</w:t>
      </w:r>
    </w:p>
    <w:bookmarkEnd w:id="13"/>
    <w:bookmarkStart w:id="14" w:name="regulation"/>
    <w:p>
      <w:pPr>
        <w:pStyle w:val="Heading2"/>
      </w:pPr>
      <w:r>
        <w:t xml:space="preserve">Regulation</w:t>
      </w:r>
    </w:p>
    <w:p>
      <w:pPr>
        <w:pStyle w:val="FirstParagraph"/>
      </w:pPr>
      <w:r>
        <w:t xml:space="preserve">PKCη activity is regulated by post-translational modifications, allosteric mechanisms, and translational control.</w:t>
      </w:r>
    </w:p>
    <w:p>
      <w:pPr>
        <w:pStyle w:val="Compact"/>
        <w:numPr>
          <w:ilvl w:val="0"/>
          <w:numId w:val="1001"/>
        </w:numPr>
      </w:pPr>
      <w:r>
        <w:rPr>
          <w:b/>
          <w:bCs/>
        </w:rPr>
        <w:t xml:space="preserve">Phosphorylation</w:t>
      </w:r>
      <w:r>
        <w:t xml:space="preserve">: Activation and maturation of PKCη require priming phosphorylations at three conserved sites: Thr-513 in the activation loop, Thr-655 in the turn motif, and Ser-674 in the hydrophobic motif (pal2014theuniqueprotein pages 2-3, silnitsky2023anupdateon pages 5-7). The activation loop phosphorylation is mediated by PDK-1, while mTORC2 is involved in hydrophobic motif phosphorylation (silnitsky2023anupdateon pages 5-7). Autophosphorylation also occurs, with Ser-28 and Ser-32 in the C2 domain identified as autophosphorylation sites possibly involved in lipid regulation (littler2006structureofhuman pages 1-2). PKCη levels can also be upregulated via transphosphorylation by PKCε (pal2014theuniqueprotein pages 1-2).</w:t>
      </w:r>
    </w:p>
    <w:p>
      <w:pPr>
        <w:pStyle w:val="Compact"/>
        <w:numPr>
          <w:ilvl w:val="0"/>
          <w:numId w:val="1001"/>
        </w:numPr>
      </w:pPr>
      <w:r>
        <w:rPr>
          <w:b/>
          <w:bCs/>
        </w:rPr>
        <w:t xml:space="preserve">Allosteric and Conformational Regulation</w:t>
      </w:r>
      <w:r>
        <w:t xml:space="preserve">: In its basal state, PKCη is autoinhibited by its pseudosubstrate sequence (pal2014theuniqueprotein pages 2-3). Binding of DAG to the C1 domains induces a conformational change that displaces the pseudosubstrate, relieving autoinhibition and allowing substrate access (silnitsky2023anupdateon pages 7-9). A unique regulatory feature is its resistance to downregulation following prolonged treatment with phorbol esters (basu2019theenigmaticprotein pages 1-4, pal2014theuniqueprotein pages 1-2).</w:t>
      </w:r>
    </w:p>
    <w:p>
      <w:pPr>
        <w:pStyle w:val="Compact"/>
        <w:numPr>
          <w:ilvl w:val="0"/>
          <w:numId w:val="1001"/>
        </w:numPr>
      </w:pPr>
      <w:r>
        <w:rPr>
          <w:b/>
          <w:bCs/>
        </w:rPr>
        <w:t xml:space="preserve">Translational Regulation</w:t>
      </w:r>
      <w:r>
        <w:t xml:space="preserve">: The 5’-UTR of the PRKCH mRNA is long and GC-rich and contains upstream open reading frames, which allows for increased translation under conditions like amino acid starvation (pal2014theuniqueprotein pages 2-3).</w:t>
      </w:r>
    </w:p>
    <w:bookmarkEnd w:id="14"/>
    <w:bookmarkStart w:id="15" w:name="function"/>
    <w:p>
      <w:pPr>
        <w:pStyle w:val="Heading2"/>
      </w:pPr>
      <w:r>
        <w:t xml:space="preserve">Function</w:t>
      </w:r>
    </w:p>
    <w:p>
      <w:pPr>
        <w:pStyle w:val="Compact"/>
        <w:numPr>
          <w:ilvl w:val="0"/>
          <w:numId w:val="1002"/>
        </w:numPr>
      </w:pPr>
      <w:r>
        <w:rPr>
          <w:b/>
          <w:bCs/>
        </w:rPr>
        <w:t xml:space="preserve">Expression and Localization</w:t>
      </w:r>
      <w:r>
        <w:t xml:space="preserve">: PKCη is predominantly expressed in epithelial tissues such as the lung, skin, and heart, as well as the epithelia of the respiratory and digestive tracts (basu2019theenigmaticprotein pages 1-4, pal2014theuniqueprotein pages 1-2). It is also highly expressed in brain microglia but has low overall expression in the brain (gauron2025proteinkinasec pages 10-12, basu2019theenigmaticprotein pages 1-4). Intracellularly, it localizes to the Golgi apparatus, endoplasmic reticulum, nuclear envelope, and plasma membrane (pal2014theuniqueprotein pages 2-3, gauron2025proteinkinasec pages 1-4).</w:t>
      </w:r>
    </w:p>
    <w:p>
      <w:pPr>
        <w:pStyle w:val="Compact"/>
        <w:numPr>
          <w:ilvl w:val="0"/>
          <w:numId w:val="1002"/>
        </w:numPr>
      </w:pPr>
      <w:r>
        <w:rPr>
          <w:b/>
          <w:bCs/>
        </w:rPr>
        <w:t xml:space="preserve">Upstream/Downstream Kinases, Substrates and Interacting Partners</w:t>
      </w:r>
      <w:r>
        <w:t xml:space="preserve">: In microglia, PKCη functions downstream of phospholipase C γ (PLCG2) (gauron2025proteinkinasec pages 10-12). It participates in signaling cascades involving Akt, mTOR, Raf/MEK/ERK, JNK/c-Jun, and NF-κB (basu2019theenigmaticprotein pages 4-5). It forms a complex with cyclin E/Cdk2/p21, phosphorylating p21 at Ser146 and modulating Cdk2 activity (basu2019theenigmaticprotein pages 1-4). Other downstream substrates and interacting partners include transglutaminase 1, Fyn kinase, the small G protein RalA, and the anti-apoptotic protein Mcl-1 (basu2019theenigmaticprotein pages 4-5, basu2019theenigmaticprotein pages 5-7). In its Golgi-localized state, its interactome includes protein kinase D (PKD), GOLGA5, and Sec22B (gauron2025proteinkinasec pages 10-12).</w:t>
      </w:r>
    </w:p>
    <w:p>
      <w:pPr>
        <w:pStyle w:val="Compact"/>
        <w:numPr>
          <w:ilvl w:val="0"/>
          <w:numId w:val="1002"/>
        </w:numPr>
      </w:pPr>
      <w:r>
        <w:rPr>
          <w:b/>
          <w:bCs/>
        </w:rPr>
        <w:t xml:space="preserve">Cellular Roles</w:t>
      </w:r>
      <w:r>
        <w:t xml:space="preserve">: PKCη has context-dependent functions in proliferation, differentiation, apoptosis, and senescence (basu2019theenigmaticprotein pages 1-4). It promotes the terminal differentiation of keratinocytes but can promote proliferation in other cells like glioblastoma and breast cancer cells (basu2019theenigmaticprotein pages 4-5, basu2019theenigmaticprotein pages 1-4). It exerts anti-apoptotic effects by suppressing caspase activity and upregulating survival proteins like Mcl-1 (basu2019theenigmaticprotein pages 5-7).</w:t>
      </w:r>
    </w:p>
    <w:bookmarkEnd w:id="15"/>
    <w:bookmarkStart w:id="16" w:name="inhibitors"/>
    <w:p>
      <w:pPr>
        <w:pStyle w:val="Heading2"/>
      </w:pPr>
      <w:r>
        <w:t xml:space="preserve">Inhibitors</w:t>
      </w:r>
    </w:p>
    <w:p>
      <w:pPr>
        <w:pStyle w:val="FirstParagraph"/>
      </w:pPr>
      <w:r>
        <w:t xml:space="preserve">No specific pharmacological inhibitors for PKCη are detailed in the provided context (basu2019theenigmaticprotein pages 1-4). Experimental inhibition has been reported using the broad-spectrum PKC inhibitor bisindolylmaleimide II, peptide inhibitors, and genetic knockdown via siRNA, shRNA, or antisense oligonucleotides (basu2019theenigmaticprotein pages 4-5, basu2019theenigmaticprotein pages 5-7). The broad PKC inhibitor Gö6983 has also been used experimentally to abolish its kinase function (gauron2025proteinkinasec pages 7-10).</w:t>
      </w:r>
    </w:p>
    <w:bookmarkEnd w:id="16"/>
    <w:bookmarkStart w:id="17" w:name="other-comments"/>
    <w:p>
      <w:pPr>
        <w:pStyle w:val="Heading2"/>
      </w:pPr>
      <w:r>
        <w:t xml:space="preserve">Other Comments</w:t>
      </w:r>
    </w:p>
    <w:p>
      <w:pPr>
        <w:pStyle w:val="Compact"/>
        <w:numPr>
          <w:ilvl w:val="0"/>
          <w:numId w:val="1003"/>
        </w:numPr>
      </w:pPr>
      <w:r>
        <w:rPr>
          <w:b/>
          <w:bCs/>
        </w:rPr>
        <w:t xml:space="preserve">Disease Associations</w:t>
      </w:r>
      <w:r>
        <w:t xml:space="preserve">: PKCη is implicated in multiple cancers, where it can act as either a tumor promoter (glioblastoma, renal cell carcinoma, breast cancer) or a suppressor (hepatocellular carcinoma), depending on the context (basu2019theenigmaticprotein pages 7-9). Its upregulation is associated with chemoresistance in several cancers, including chronic myeloid leukemia and breast cancer (basu2019theenigmaticprotein pages 5-7). An intronic variant (rs7161410) in PRKCH is strongly associated with Alzheimer’s disease (AD) risk under a recessive inheritance model (gauron2025proteinkinasec pages 4-7).</w:t>
      </w:r>
    </w:p>
    <w:p>
      <w:pPr>
        <w:pStyle w:val="Compact"/>
        <w:numPr>
          <w:ilvl w:val="0"/>
          <w:numId w:val="1003"/>
        </w:numPr>
      </w:pPr>
      <w:r>
        <w:rPr>
          <w:b/>
          <w:bCs/>
        </w:rPr>
        <w:t xml:space="preserve">Disease Mutations</w:t>
      </w:r>
      <w:r>
        <w:t xml:space="preserve">: Several missense mutations in PRKCH (A19V, K65R, R149Q, V374I, A410S) are linked to AD (gauron2025proteinkinasec pages 7-10). The K65R mutation, located in a surface-exposed region of the C2 domain, enhances PKCη’s localization and signaling at the Golgi apparatus without altering its intrinsic kinase activity (gauron2025proteinkinasec pages 7-10, gauron2025proteinkinasec pages 4-7). The V374I mutation has also been associated with stroke (gauron2025proteinkinasec pages 10-12).</w:t>
      </w:r>
    </w:p>
    <w:p>
      <w:pPr>
        <w:pStyle w:val="FirstParagraph"/>
      </w:pPr>
      <w:r>
        <w:t xml:space="preserve">References</w:t>
      </w:r>
    </w:p>
    <w:p>
      <w:pPr>
        <w:numPr>
          <w:ilvl w:val="0"/>
          <w:numId w:val="1004"/>
        </w:numPr>
      </w:pPr>
      <w:r>
        <w:t xml:space="preserve">(basu2019theenigmaticprotein pages 1-4): A. Basu. The enigmatic protein kinase c-eta. Cancers, Feb 2019. URL: https://doi.org/10.3390/cancers11020214, doi:10.3390/cancers11020214. This article has 25 citations and is from a peer-reviewed journal.</w:t>
      </w:r>
    </w:p>
    <w:p>
      <w:pPr>
        <w:numPr>
          <w:ilvl w:val="0"/>
          <w:numId w:val="1004"/>
        </w:numPr>
      </w:pPr>
      <w:r>
        <w:t xml:space="preserve">(basu2019theenigmaticprotein pages 4-5): A. Basu. The enigmatic protein kinase c-eta. Cancers, Feb 2019. URL: https://doi.org/10.3390/cancers11020214, doi:10.3390/cancers11020214. This article has 25 citations and is from a peer-reviewed journal.</w:t>
      </w:r>
    </w:p>
    <w:p>
      <w:pPr>
        <w:numPr>
          <w:ilvl w:val="0"/>
          <w:numId w:val="1004"/>
        </w:numPr>
      </w:pPr>
      <w:r>
        <w:t xml:space="preserve">(basu2019theenigmaticprotein pages 5-7): A. Basu. The enigmatic protein kinase c-eta. Cancers, Feb 2019. URL: https://doi.org/10.3390/cancers11020214, doi:10.3390/cancers11020214. This article has 25 citations and is from a peer-reviewed journal.</w:t>
      </w:r>
    </w:p>
    <w:p>
      <w:pPr>
        <w:numPr>
          <w:ilvl w:val="0"/>
          <w:numId w:val="1004"/>
        </w:numPr>
      </w:pPr>
      <w:r>
        <w:t xml:space="preserve">(basu2019theenigmaticprotein pages 7-9): A. Basu. The enigmatic protein kinase c-eta. Cancers, Feb 2019. URL: https://doi.org/10.3390/cancers11020214, doi:10.3390/cancers11020214. This article has 25 citations and is from a peer-reviewed journal.</w:t>
      </w:r>
    </w:p>
    <w:p>
      <w:pPr>
        <w:numPr>
          <w:ilvl w:val="0"/>
          <w:numId w:val="1004"/>
        </w:numPr>
      </w:pPr>
      <w:r>
        <w:t xml:space="preserve">(breitkreutz2007proteinkinasec pages 1-2): D. Breitkreutz, Liora Braiman-Wiksman, N. Daum, M. Denning, and T. Tennenbaum. Protein kinase c family: on the crossroads of cell signaling in skin and tumor epithelium. Journal of Cancer Research and Clinical Oncology, 133:793-808, Jul 2007. URL: https://doi.org/10.1007/s00432-007-0280-3, doi:10.1007/s00432-007-0280-3. This article has 183 citations and is from a peer-reviewed journal.</w:t>
      </w:r>
    </w:p>
    <w:p>
      <w:pPr>
        <w:numPr>
          <w:ilvl w:val="0"/>
          <w:numId w:val="1004"/>
        </w:numPr>
      </w:pPr>
      <w:r>
        <w:t xml:space="preserve">(gauron2025proteinkinasec pages 1-4): M. C. Gaurón, D. Prokopenko, Sanghun Lee, Sarah A. Wolfe, Julian Hecker, J. Willett, Mohammad Waqas, Gema Lordén, Yimin Yang, Joshua E. Mayfield, Isabel Castanho, K. Mullin, Sarah Morgan, Georg Hahn, Dawn L DeMeo, Winston Hide, Lars Bertram, Christoph Lange, Alexandra C Newton, and Rudolph E. Tanzi. Protein kinase c eta enhances golgi-localized signaling and is associated with alzheimer’s disease using a recessive mode of inheritance. medRxiv, May 2025. URL: https://doi.org/10.1101/2025.05.13.25327562, doi:10.1101/2025.05.13.25327562. This article has 0 citations.</w:t>
      </w:r>
    </w:p>
    <w:p>
      <w:pPr>
        <w:numPr>
          <w:ilvl w:val="0"/>
          <w:numId w:val="1004"/>
        </w:numPr>
      </w:pPr>
      <w:r>
        <w:t xml:space="preserve">(gauron2025proteinkinasec pages 10-12): M. C. Gaurón, D. Prokopenko, Sanghun Lee, Sarah A. Wolfe, Julian Hecker, J. Willett, Mohammad Waqas, Gema Lordén, Yimin Yang, Joshua E. Mayfield, Isabel Castanho, K. Mullin, Sarah Morgan, Georg Hahn, Dawn L DeMeo, Winston Hide, Lars Bertram, Christoph Lange, Alexandra C Newton, and Rudolph E. Tanzi. Protein kinase c eta enhances golgi-localized signaling and is associated with alzheimer’s disease using a recessive mode of inheritance. medRxiv, May 2025. URL: https://doi.org/10.1101/2025.05.13.25327562, doi:10.1101/2025.05.13.25327562. This article has 0 citations.</w:t>
      </w:r>
    </w:p>
    <w:p>
      <w:pPr>
        <w:numPr>
          <w:ilvl w:val="0"/>
          <w:numId w:val="1004"/>
        </w:numPr>
      </w:pPr>
      <w:r>
        <w:t xml:space="preserve">(gauron2025proteinkinasec pages 4-7): M. C. Gaurón, D. Prokopenko, Sanghun Lee, Sarah A. Wolfe, Julian Hecker, J. Willett, Mohammad Waqas, Gema Lordén, Yimin Yang, Joshua E. Mayfield, Isabel Castanho, K. Mullin, Sarah Morgan, Georg Hahn, Dawn L DeMeo, Winston Hide, Lars Bertram, Christoph Lange, Alexandra C Newton, and Rudolph E. Tanzi. Protein kinase c eta enhances golgi-localized signaling and is associated with alzheimer’s disease using a recessive mode of inheritance. medRxiv, May 2025. URL: https://doi.org/10.1101/2025.05.13.25327562, doi:10.1101/2025.05.13.25327562. This article has 0 citations.</w:t>
      </w:r>
    </w:p>
    <w:p>
      <w:pPr>
        <w:numPr>
          <w:ilvl w:val="0"/>
          <w:numId w:val="1004"/>
        </w:numPr>
      </w:pPr>
      <w:r>
        <w:t xml:space="preserve">(gauron2025proteinkinasec pages 7-10): M. C. Gaurón, D. Prokopenko, Sanghun Lee, Sarah A. Wolfe, Julian Hecker, J. Willett, Mohammad Waqas, Gema Lordén, Yimin Yang, Joshua E. Mayfield, Isabel Castanho, K. Mullin, Sarah Morgan, Georg Hahn, Dawn L DeMeo, Winston Hide, Lars Bertram, Christoph Lange, Alexandra C Newton, and Rudolph E. Tanzi. Protein kinase c eta enhances golgi-localized signaling and is associated with alzheimer’s disease using a recessive mode of inheritance. medRxiv, May 2025. URL: https://doi.org/10.1101/2025.05.13.25327562, doi:10.1101/2025.05.13.25327562. This article has 0 citations.</w:t>
      </w:r>
    </w:p>
    <w:p>
      <w:pPr>
        <w:numPr>
          <w:ilvl w:val="0"/>
          <w:numId w:val="1004"/>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4"/>
        </w:numPr>
      </w:pPr>
      <w:r>
        <w:t xml:space="preserve">(littler2006structureofhuman pages 1-2): D. Littler, J. Walker, Y. She, P. Finerty, E. Newman, and S. Dhe-Paganon. Structure of human protein kinase c eta (pkceta) c2 domain and identification of phosphorylation sites. Biochemical and biophysical research communications, 349 4:1182-9, Nov 2006. URL: https://doi.org/10.1016/j.bbrc.2006.08.160, doi:10.1016/j.bbrc.2006.08.160. This article has 32 citations and is from a peer-reviewed journal.</w:t>
      </w:r>
    </w:p>
    <w:p>
      <w:pPr>
        <w:numPr>
          <w:ilvl w:val="0"/>
          <w:numId w:val="1004"/>
        </w:numPr>
      </w:pPr>
      <w:r>
        <w:t xml:space="preserve">(newton2018proteinkinasec pages 1-3):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4"/>
        </w:numPr>
      </w:pPr>
      <w:r>
        <w:t xml:space="preserve">(newton2018proteinkinasec pages 3-5):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4"/>
        </w:numPr>
      </w:pPr>
      <w:r>
        <w:t xml:space="preserve">(pal2014theuniqueprotein pages 1-2): Deepanwita Pal and A. Basu. The unique protein kinase cη: implications for breast cancer (review). International journal of oncology, 45 2:493-8, Aug 2014. URL: https://doi.org/10.3892/ijo.2014.2443, doi:10.3892/ijo.2014.2443. This article has 16 citations and is from a peer-reviewed journal.</w:t>
      </w:r>
    </w:p>
    <w:p>
      <w:pPr>
        <w:numPr>
          <w:ilvl w:val="0"/>
          <w:numId w:val="1004"/>
        </w:numPr>
      </w:pPr>
      <w:r>
        <w:t xml:space="preserve">(pal2014theuniqueprotein pages 2-3): Deepanwita Pal and A. Basu. The unique protein kinase cη: implications for breast cancer (review). International journal of oncology, 45 2:493-8, Aug 2014. URL: https://doi.org/10.3892/ijo.2014.2443, doi:10.3892/ijo.2014.2443. This article has 16 citations and is from a peer-reviewed journal.</w:t>
      </w:r>
    </w:p>
    <w:p>
      <w:pPr>
        <w:numPr>
          <w:ilvl w:val="0"/>
          <w:numId w:val="1004"/>
        </w:numPr>
      </w:pPr>
      <w:r>
        <w:t xml:space="preserve">(silnitsky2023anupdateon pages 3-5):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25 citations and is from a peer-reviewed journal.</w:t>
      </w:r>
    </w:p>
    <w:p>
      <w:pPr>
        <w:numPr>
          <w:ilvl w:val="0"/>
          <w:numId w:val="1004"/>
        </w:numPr>
      </w:pPr>
      <w:r>
        <w:t xml:space="preserve">(silnitsky2023anupdateon pages 5-7):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25 citations and is from a peer-reviewed journal.</w:t>
      </w:r>
    </w:p>
    <w:p>
      <w:pPr>
        <w:numPr>
          <w:ilvl w:val="0"/>
          <w:numId w:val="1004"/>
        </w:numPr>
      </w:pPr>
      <w:r>
        <w:t xml:space="preserve">(garciaconcejo2021proteinkinasec pages 1-2):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4"/>
        </w:numPr>
      </w:pPr>
      <w:r>
        <w:t xml:space="preserve">(harper2010diversefunctionsof pages 1-2): M.T. HARPER and A.W. POOLE. Diverse functions of protein kinase c isoforms in platelet activation and thrombus formation. Journal of Thrombosis and Haemostasis, 8:454-462, Mar 2010. URL: https://doi.org/10.1111/j.1538-7836.2009.03722.x, doi:10.1111/j.1538-7836.2009.03722.x. This article has 221 citations and is from a peer-reviewed journal.</w:t>
      </w:r>
    </w:p>
    <w:p>
      <w:pPr>
        <w:numPr>
          <w:ilvl w:val="0"/>
          <w:numId w:val="1004"/>
        </w:numPr>
      </w:pPr>
      <w:r>
        <w:t xml:space="preserve">(heinisch2018proteinkinasec pages 1-5): Jürgen J Heinisch and Rosaura Rodicio. Protein kinase c in fungi—more than just cell wall integrity. FEMS Microbiology Reviews, Oct 2018. URL: https://doi.org/10.1093/femsre/fux051, doi:10.1093/femsre/fux051. This article has 102 citations and is from a domain leading peer-reviewed journal.</w:t>
      </w:r>
    </w:p>
    <w:p>
      <w:pPr>
        <w:numPr>
          <w:ilvl w:val="0"/>
          <w:numId w:val="1004"/>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4"/>
        </w:numPr>
      </w:pPr>
      <w:r>
        <w:t xml:space="preserve">(marrocco2019pkcandpkn pages 1-2): Valeria Marrocco, J. Bogomolovas, E. Ehler, C. D. dos Remedios, Jiayu Yu, Chen Gao, and S. Lange. Pkc and pkn in heart disease. Journal of Molecular and Cellular Cardiology, 128:212-226, Feb 2019. URL: https://doi.org/10.1016/j.yjmcc.2019.01.029, doi:10.1016/j.yjmcc.2019.01.029. This article has 58 citations and is from a domain leading peer-reviewed journal.</w:t>
      </w:r>
    </w:p>
    <w:p>
      <w:pPr>
        <w:numPr>
          <w:ilvl w:val="0"/>
          <w:numId w:val="1004"/>
        </w:numPr>
      </w:pPr>
      <w:r>
        <w:t xml:space="preserve">(newton2018proteinkinasec pages 5-6):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4"/>
        </w:numPr>
      </w:pPr>
      <w:r>
        <w:t xml:space="preserve">(silnitsky2023anupdateon pages 7-9):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