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ACVR2A is assigned to the STRK group, TGF-β receptor family, of the human kinome (manning2002theproteinkinase).</w:t>
      </w:r>
      <w:r>
        <w:br/>
      </w:r>
      <w:r>
        <w:t xml:space="preserve">It clusters with the type-II receptors ACVR2B and BMPR2, forming a branch separate from TGFβR2 and AMHR2 (hart2020mutationalanalysisof).</w:t>
      </w:r>
      <w:r>
        <w:br/>
      </w:r>
      <w:r>
        <w:t xml:space="preserve">Verified vertebrate orthologs include Mus musculus Acvr2a, gilthead sea-bream saAcvr2b-1/-2a/-2b produced by teleost duplication, and Gallus gallus ActRIIB, underscoring conservation across tetrapods and teleosts (funkenstein2012structuralandfunctional).</w:t>
      </w:r>
      <w:r>
        <w:br/>
      </w:r>
      <w:r>
        <w:t xml:space="preserve">Teleosts retain three co-orthologs—olaAcvr2ab, olaAcvr2ba and olaAcvr2bb—in medaka, illustrating lineage-specific expansion (trumpp2023characterizationoffibrodysplasia).</w:t>
      </w:r>
      <w:r>
        <w:br/>
      </w:r>
      <w:r>
        <w:t xml:space="preserve">Invertebrate homologues such as Drosophila melanogaster punt and Caenorhabditis elegans daf-4 preserve the ancestral receptor architecture despite reduced kinase domains (unknownauthors2002expressionandregulation).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[type-I receptor]-Ser/Thr → ADP + [type-I receptor]-O-phospho-Ser/Thr (lee2006generationofactivin).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follows the canonical Mg²⁺ dependence of STRK family kinases (manning2002theproteinkinase).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Johnson et al. profiled 303 Ser/Thr kinases but did not report a consensus phosphorylation motif for ACVR2A (johnson2023anatlasof).</w:t>
      </w:r>
      <w:r>
        <w:br/>
      </w:r>
      <w:r>
        <w:t xml:space="preserve">Biochemically, ACVR2A phosphorylates the glycine-serine regulatory segment of partner type-I receptors during trans-activation (lee2006generationofactivin).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mature receptor comprises an N-terminal signal peptide (1–24), an extracellular β-sandwich growth-factor binding domain (25–116), a single-pass transmembrane helix (~138–160) and a C-terminal serine/threonine kinase domain (190–479) (vishnu2019molecularcharacterizationand).</w:t>
      </w:r>
      <w:r>
        <w:br/>
      </w:r>
      <w:r>
        <w:t xml:space="preserve">Extracellular structures bound to activin A (PDB 5NH3, 1REW) reveal a rigid seven-strand β-sheet core, an aromatic hydrophobic triad and an extended β2-β3 loop (61-66) that provide receptor-specific contacts (chu2022typeiibmp).</w:t>
      </w:r>
      <w:r>
        <w:br/>
      </w:r>
      <w:r>
        <w:t xml:space="preserve">The kinase domain solved in PDB 3Q4T shows the bilobal fold, active-like αC helix, VAIK lysine (Lys219), HRD catalytic triad (His334-Asp336) and DFG motif (Asp354-Phe355-Gly356) aligned along the hydrophobic regulatory spine; the activation loop interacts with the catalytic loop and αC helix to position substrates (unknownauthors2023molecularinsightsinto).</w:t>
      </w:r>
      <w:r>
        <w:br/>
      </w:r>
      <w:r>
        <w:t xml:space="preserve">Solvent-exposed extracellular Asn residues constitute predicted N-glycosylation sites analogous to those experimentally verified in BMPR2 (lowery2014nlinkedglycosylationof).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N-linked glycosylation enhances ligand affinity and surface expression (lowery2014nlinkedglycosylationof).</w:t>
      </w:r>
      <w:r>
        <w:br/>
      </w:r>
      <w:r>
        <w:t xml:space="preserve">Ligand engagement drives formation of a (ACVR2A)₂:(type-I)₂ complex, enabling trans-phosphorylation of the type-I GS domain and downstream SMAD activation (goh2017activinreceptortype).</w:t>
      </w:r>
      <w:r>
        <w:br/>
      </w:r>
      <w:r>
        <w:t xml:space="preserve">Activin A can assemble a non-signalling complex with ACVR1 and ACVR2A that sequesters receptors from canonical pathways (aykul2020activinaforms).</w:t>
      </w:r>
      <w:r>
        <w:br/>
      </w:r>
      <w:r>
        <w:t xml:space="preserve">In the presence of the pathogenic ALK2-R206H mutant, ACVR2A homodimerization becomes ligand-dependent and modulates aberrant SMAD1/5/8 signalling (szilagyi2024theactivationof).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Combined GTEx and in-house analyses show highest ACVR2A expression in placenta, endometrium, vascular endothelium, skeletal muscle and differentiating osteoblasts (yang2025acvr2afacilitatestrophoblast).</w:t>
      </w:r>
      <w:r>
        <w:br/>
      </w:r>
      <w:r>
        <w:t xml:space="preserve">In bone cells, ACVR2A signalling limits osteoblast differentiation and bone formation; soluble ACVR2A-Fc reverses this inhibition and enlarges trabecular and cortical bone mass (goh2017activinreceptortype).</w:t>
      </w:r>
      <w:r>
        <w:br/>
      </w:r>
      <w:r>
        <w:t xml:space="preserve">In trophoblasts ACVR2A partners with ALK4, activating the SMAD1/5-SMAD4-TCF7/c-JUN axis to promote invasion and spiral-artery remodelling (yang2025acvr2afacilitatestrophoblast).</w:t>
      </w:r>
      <w:r>
        <w:br/>
      </w:r>
      <w:r>
        <w:t xml:space="preserve">In skeletal muscle the receptor binds myostatin and activins to repress mTOR-dependent protein synthesis and satellite-cell proliferation (hulmi2021targetingtheactivin).</w:t>
      </w:r>
      <w:r>
        <w:br/>
      </w:r>
      <w:r>
        <w:t xml:space="preserve">Downstream signalling involves canonical SMAD2/3 and non-SMAD cascades including PI3K, p38 MAPK and RhoA GTPases (wodzinski2019doestheexpression).</w:t>
      </w:r>
      <w:r>
        <w:br/>
      </w:r>
      <w:r>
        <w:t xml:space="preserve">Partner type-I receptors include ALK4, ALK2 and ALK3, with FKBP12 acting as a constitutive repressor on type-I GS domains (szilagyi2024theactivationof).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High-affinity ligand traps such as ACVR2A-Fc and ACVR2B-Fc elevate bone and muscle mass in vivo (goh2017activinreceptortype).</w:t>
      </w:r>
      <w:r>
        <w:br/>
      </w:r>
      <w:r>
        <w:t xml:space="preserve">Clinical-stage agents ACE-011 (sotatercept), luspatercept and the neutralizing antibody bimagrumab target ACVR2A ligands or the receptor to treat bone loss, anaemia and cachexia (lodberg2021principlesofthe).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Frameshift and truncating ACVR2A mutations are frequent in microsatellite-unstable colorectal carcinoma and correlate with larger primary tumours (wodzinski2019doestheexpression).</w:t>
      </w:r>
      <w:r>
        <w:br/>
      </w:r>
      <w:r>
        <w:t xml:space="preserve">Reduced placental ACVR2A expression contributes to pre-eclampsia through impaired trophoblast invasion (yang2025acvr2afacilitatestrophoblast).</w:t>
      </w:r>
      <w:r>
        <w:br/>
      </w:r>
      <w:r>
        <w:t xml:space="preserve">Interaction with ALK2-R206H links ACVR2A to the pathogenesis of fibrodysplasia ossificans progressiva (szilagyi2024theactivationof).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2025-07-02T16:40:51Z</dcterms:created>
  <dcterms:modified xsi:type="dcterms:W3CDTF">2025-07-02T16:40:51Z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