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MARK3 is assigned to the CaMK group, AMPK/Snf1-related kinase subfamily, MARK/PAR-1 branch of the human kinome (timm2006signalingfrommark pages 4-5, matenia2009thetauof pages 1-2).</w:t>
      </w:r>
      <w:r>
        <w:br/>
      </w:r>
      <w:r>
        <w:t xml:space="preserve">• Human paralogs are MARK1, MARK2, MARK3 and MARK4; phylogenetic analysis places MARK3 closest to MARK1 within this clade (naz2013microtubuleaffinityregulatingkinase pages 8-10).</w:t>
      </w:r>
      <w:r>
        <w:br/>
      </w:r>
      <w:r>
        <w:t xml:space="preserve">• Well-conserved orthologs include Drosophila melanogaster Par-1, Caenorhabditis elegans PAR-1 and Saccharomyces cerevisiae Kin1/Kin2, reflecting an ancient cell-polarity module retained from yeast to mammals (goransson2006regulationofthe pages 2-3, timm2006signalingfrommark pages 5-6).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→ ADP + protein-L-Ser/Thr-P (marx2010structureandfunction pages 1-2, timm2008structureandregulation pages 2-4).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strictly depends on divalent Mg²⁺, as shown in immune-complex kinase assays with purified MARK3 (sandi2017mark3mediatedphosphorylationof pages 3-4).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High affinity for KXGS motifs within microtubule-binding repeats of MAPT, MAP2 and MAP4 (marx2010structureandfunction pages 1-2).</w:t>
      </w:r>
      <w:r>
        <w:br/>
      </w:r>
      <w:r>
        <w:t xml:space="preserve">• Efficient phosphorylation of variant ζXKXGSXXNΨ motifs; the conserved KLDpT activation loop enables recognition of these sequences (sonntag2019thekldptactivation pages 13-17).</w:t>
      </w:r>
      <w:r>
        <w:br/>
      </w:r>
      <w:r>
        <w:t xml:space="preserve">• MARK3 can also target the broader AMPK-type consensus LXRXXS/TXXXL, albeit with lower potency than for KXGS-containing substrates (sonntag2019thekldptactivation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N-terminal header, bilobal kinase domain (residues ~65-310), ExxE common-docking linker, three-helix UBA domain (~320-365), intrinsically disordered spacer harbouring regulatory phosphosites, and C-terminal KA1 domain responsible for membrane association (marx2010structureandfunction pages 2-3, panneerselvam2006structureofthe pages 1-2).</w:t>
      </w:r>
      <w:r>
        <w:br/>
      </w:r>
      <w:r>
        <w:t xml:space="preserve">• X-ray structure of a human MARK3 catalytic-UBA fragment at 2.4 Å (space group C2) shows the kinase domain in two conformers; helix C can pivot outward, breaking the Lys85–Glu103 ion pair, while the activation loop (Asp196–Phe199–Thr211) is fully ordered and engages the catalytic cleft (unknownauthors2008structuralvariationsin pages 50-55).</w:t>
      </w:r>
      <w:r>
        <w:br/>
      </w:r>
      <w:r>
        <w:t xml:space="preserve">• The activation segment contains the conserved KLDpT motif; phosphorylation of Thr211 completes the regulatory hydrophobic spine and aligns catalytic residues (sonntag2019thekldptactivation pages 1-2, goransson2006regulationofthe pages 2-3).</w:t>
      </w:r>
      <w:r>
        <w:br/>
      </w:r>
      <w:r>
        <w:t xml:space="preserve">• The UBA domain packs against the N-lobe and can modulate access of upstream kinases, whereas the KA1 domain mediates phospholipid-dependent autoinhibition and cortical targeting (marx2010structureandfunction pages 2-3).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Activation-loop Thr211 is phosphorylated by LKB1-STRAD-MO25 or TAO1/MARKK, switching the kinase to an active state (goransson2006regulationofthe pages 2-3, timm2006signalingfrommark pages 4-5).</w:t>
      </w:r>
      <w:r>
        <w:br/>
      </w:r>
      <w:r>
        <w:t xml:space="preserve">• Adjacent Ser212 is phosphorylated by GSK3β, locking the activation loop in an inactive conformation (timm2008structureandregulation pages 4-5).</w:t>
      </w:r>
      <w:r>
        <w:br/>
      </w:r>
      <w:r>
        <w:t xml:space="preserve">• Spacer-region Thr595 and Ser619 are phosphorylated by atypical PKC; these sites create 14-3-3 docking motifs and drive cytosolic sequestration (marx2010structureandfunction pages 2-3, goransson2006regulationofthe pages 2-3).</w:t>
      </w:r>
      <w:r>
        <w:br/>
      </w:r>
      <w:r>
        <w:t xml:space="preserve">• Multiple helix-C serine/threonine residues are phosphorylated by Pim-1 and CaMKI, reducing catalytic activity (marx2010structureandfunction pages 2-3).</w:t>
      </w:r>
      <w:r>
        <w:br/>
      </w:r>
      <w:r>
        <w:t xml:space="preserve">• PAK5 binds the kinase domain and acts as a steric inhibitor (timm2006signalingfrommark pages 4-5).</w:t>
      </w:r>
      <w:r>
        <w:br/>
      </w:r>
      <w:r>
        <w:t xml:space="preserve">• The UBA domain controls susceptibility to activating phosphorylation; mutation of conserved UBA residues or removal of atypical Lys29/Lys33 polyubiquitin by USP9X perturbs LKB1-dependent activation (alhakim2008controlofampkrelated pages 11-12).</w:t>
      </w:r>
    </w:p>
    <w:p>
      <w:pPr>
        <w:pStyle w:val="BodyText"/>
      </w:pPr>
      <w:r>
        <w:t xml:space="preserve">Protein-protein interactions</w:t>
      </w:r>
      <w:r>
        <w:br/>
      </w:r>
      <w:r>
        <w:t xml:space="preserve">• Phosphorylation-dependent or constitutive binding to 14-3-3 isoforms determines subcellular localisation without altering intrinsic catalytic turnover (goransson2006regulationofthe pages 2-3).</w:t>
      </w:r>
      <w:r>
        <w:br/>
      </w:r>
      <w:r>
        <w:t xml:space="preserve">• Helicobacter pylori CagA associates with MARK3 and suppresses its activity at epithelial junctions (marx2010structureandfunction pages 2-3).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• Highly expressed in brain neurons and present on the surface of differentiated pancreatic epithelial cells but absent from transformed pancreatic lines (timm2006signalingfrommark pages 10-11, matenia2009thetauof pages 4-6).</w:t>
      </w:r>
    </w:p>
    <w:p>
      <w:pPr>
        <w:pStyle w:val="BodyText"/>
      </w:pPr>
      <w:r>
        <w:t xml:space="preserve">Substrates and pathways</w:t>
      </w:r>
      <w:r>
        <w:br/>
      </w:r>
      <w:r>
        <w:t xml:space="preserve">• MAPT/tau, MAP2 and MAP4: phosphorylation at KXGS sites detaches MAPs from microtubules, increasing microtubule dynamics (marx2010structureandfunction pages 1-2, timm2006signalingfrommark pages 10-11).</w:t>
      </w:r>
      <w:r>
        <w:br/>
      </w:r>
      <w:r>
        <w:t xml:space="preserve">• CDC25C Ser216: generates a 14-3-3 site and enforces the G2/M checkpoint (unknownauthors2008structuralvariationsina pages 11-14).</w:t>
      </w:r>
      <w:r>
        <w:br/>
      </w:r>
      <w:r>
        <w:t xml:space="preserve">• HDAC7 and other class IIa HDACs: phosphorylation induces 14-3-3-mediated nuclear export, modulating gene repression programmes (matenia2009thetauof pages 4-6).</w:t>
      </w:r>
      <w:r>
        <w:br/>
      </w:r>
      <w:r>
        <w:t xml:space="preserve">• ARHGEF2 Ser151: converts dynein-bound ARHGEF2 into an active RHOA GEF, promoting stress-fibre and focal-adhesion assembly and epithelial polarity (sandi2017mark3mediatedphosphorylationof pages 3-4).</w:t>
      </w:r>
      <w:r>
        <w:br/>
      </w:r>
      <w:r>
        <w:t xml:space="preserve">• KSR1: phosphorylation retains KSR1 in the cytosol, dampening Ras–MAPK signalling (matenia2009thetauof pages 2-4).</w:t>
      </w:r>
      <w:r>
        <w:br/>
      </w:r>
      <w:r>
        <w:t xml:space="preserve">• PTPH1 and plakophilin-2: phosphorylation creates 14-3-3 sites leading to relocalisation (matenia2009thetauof pages 4-6).</w:t>
      </w:r>
    </w:p>
    <w:p>
      <w:pPr>
        <w:pStyle w:val="BodyText"/>
      </w:pPr>
      <w:r>
        <w:t xml:space="preserve">Upstream regulators</w:t>
      </w:r>
      <w:r>
        <w:br/>
      </w:r>
      <w:r>
        <w:t xml:space="preserve">• LKB1 and TAO1/MARKK phosphorylate Thr211 (goransson2006regulationofthe pages 2-3, timm2006signalingfrommark pages 4-5).</w:t>
      </w:r>
      <w:r>
        <w:br/>
      </w:r>
      <w:r>
        <w:t xml:space="preserve">• aPKC phosphorylates spacer residues to control localisation (goransson2006regulationofthe pages 2-3).</w:t>
      </w:r>
    </w:p>
    <w:p>
      <w:pPr>
        <w:pStyle w:val="BodyText"/>
      </w:pPr>
      <w:r>
        <w:t xml:space="preserve">Biological roles</w:t>
      </w:r>
      <w:r>
        <w:br/>
      </w:r>
      <w:r>
        <w:t xml:space="preserve">• Coordinates neuronal polarity and axonal transport, regulates epithelial lumen formation, links microtubule and actin systems, and modulates Ras-MAPK and cell-cycle checkpoints through substrate sequestration (marx2010structureandfunction pages 1-2, sandi2017mark3mediatedphosphorylationof pages 3-4).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A homozygous p.Arg570Gly mutation in MARK3 causes progressive visual impairment and phthisis bulbi in humans; functional modelling in Drosophila confirms loss-of-function effects on eye development (ansar2018visualimpairmentand pages 3-4, ansar2018visualimpairmentand pages 5-6).</w:t>
      </w:r>
      <w:r>
        <w:br/>
      </w:r>
      <w:r>
        <w:t xml:space="preserve">• Elevated MARK activity and tau Ser262 phosphorylation are early events in Alzheimer-type tauopathy (annadurai2017microtubuleaffinityregulatingkinases pages 1-2, timm2006signalingfrommark pages 4-5).</w:t>
      </w:r>
      <w:r>
        <w:br/>
      </w:r>
      <w:r>
        <w:t xml:space="preserve">• Interaction of MARK kinases with H. pylori CagA links MARK3 dysregulation to epithelial polarity loss in gastric carcinogenesis (marx2010structureandfunction pages 2-3).</w:t>
      </w:r>
      <w:r>
        <w:br/>
      </w:r>
      <w:r>
        <w:t xml:space="preserve">• Loss of cell-surface MARK3 in transformed pancreatic cells suggests relevance to pancreatic oncogenesis (matenia2009thetauof pages 4-6).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(ansar2018visualimpairmentand pages 3-4): Muhammad Ansar, Hyunglok Chung, Yar M Waryah, Periklis Makrythanasis, Emilie Falconnet, Ali Raza Rao, Michel Guipponi, Ashok K Narsani, Ralph Fingerhut, Federico A Santoni, Emmanuelle Ranza, Ali M Waryah, Hugo J Bellen, and Stylianos E Antonarakis. Visual impairment and progressive phthisis bulbi caused by recessive pathogenic variant in mark3. Human Molecular Genetics, 27:2703–2711, Aug 2018. URL: https://doi.org/10.1093/hmg/ddy180, doi:10.1093/hmg/ddy180. This article has 28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(ansar2018visualimpairmentand pages 5-6): Muhammad Ansar, Hyunglok Chung, Yar M Waryah, Periklis Makrythanasis, Emilie Falconnet, Ali Raza Rao, Michel Guipponi, Ashok K Narsani, Ralph Fingerhut, Federico A Santoni, Emmanuelle Ranza, Ali M Waryah, Hugo J Bellen, and Stylianos E Antonarakis. Visual impairment and progressive phthisis bulbi caused by recessive pathogenic variant in mark3. Human Molecular Genetics, 27:2703–2711, Aug 2018. URL: https://doi.org/10.1093/hmg/ddy180, doi:10.1093/hmg/ddy180. This article has 28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(goransson2006regulationofthe pages 2-3): Olga Göransson, Maria Deak, Stephan Wullschleger, Nick A. Morrice, Alan R. Prescott, and Dario R. Alessi. Regulation of the polarity kinases par-1/mark by 14-3-3 interaction and phosphorylation. Journal of Cell Science, 119:4059-4070, Oct 2006. URL: https://doi.org/10.1242/jcs.03097, doi:10.1242/jcs.03097. This article has 77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(marx2010structureandfunction pages 1-2): A. Marx, C. Nugoor, S. Panneerselvam, and E. Mandelkow. Structure and function of polarity‐inducing kinase family mark/par‐1 within the branch of ampk/snf1‐related kinases. The FASEB Journal, 24:1637-1648, Jun 2010. URL: https://doi.org/10.1096/fj.09-148064, doi:10.1096/fj.09-148064. This article has 126 citations.</w:t>
      </w:r>
    </w:p>
    <w:p>
      <w:pPr>
        <w:numPr>
          <w:ilvl w:val="0"/>
          <w:numId w:val="1001"/>
        </w:numPr>
      </w:pPr>
      <w:r>
        <w:t xml:space="preserve">(marx2010structureandfunction pages 2-3): A. Marx, C. Nugoor, S. Panneerselvam, and E. Mandelkow. Structure and function of polarity‐inducing kinase family mark/par‐1 within the branch of ampk/snf1‐related kinases. The FASEB Journal, 24:1637-1648, Jun 2010. URL: https://doi.org/10.1096/fj.09-148064, doi:10.1096/fj.09-148064. This article has 126 citations.</w:t>
      </w:r>
    </w:p>
    <w:p>
      <w:pPr>
        <w:numPr>
          <w:ilvl w:val="0"/>
          <w:numId w:val="1001"/>
        </w:numPr>
      </w:pPr>
      <w:r>
        <w:t xml:space="preserve">(matenia2009thetauof pages 1-2): Dorthe Matenia and Eva-Maria Mandelkow. The tau of mark: a polarized view of the cytoskeleton. Trends in Biochemical Sciences, 34:332-342, Jul 2009. URL: https://doi.org/10.1016/j.tibs.2009.03.008, doi:10.1016/j.tibs.2009.03.008. This article has 252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(matenia2009thetauof pages 2-4): Dorthe Matenia and Eva-Maria Mandelkow. The tau of mark: a polarized view of the cytoskeleton. Trends in Biochemical Sciences, 34:332-342, Jul 2009. URL: https://doi.org/10.1016/j.tibs.2009.03.008, doi:10.1016/j.tibs.2009.03.008. This article has 252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(matenia2009thetauof pages 4-6): Dorthe Matenia and Eva-Maria Mandelkow. The tau of mark: a polarized view of the cytoskeleton. Trends in Biochemical Sciences, 34:332-342, Jul 2009. URL: https://doi.org/10.1016/j.tibs.2009.03.008, doi:10.1016/j.tibs.2009.03.008. This article has 252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(sandi2017mark3mediatedphosphorylationof pages 3-4): María-José Sandí, Christopher B. Marshall, Marc Balan, Étienne Coyaud, Ming Zhou, Daniel M. Monson, Noboru Ishiyama, Arun A. Chandrakumar, José La Rose, Amber L. Couzens, Anne-Claude Gingras, Brian Raught, Wei Xu, Mitsuhiko Ikura, Deborah K. Morrison, and Robert Rottapel. Mark3-mediated phosphorylation of arhgef2 couples microtubules to the actin cytoskeleton to establish cell polarity. Science Signaling, Oct 2017. URL: https://doi.org/10.1126/scisignal.aan3286, doi:10.1126/scisignal.aan3286. This article has 62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(sonntag2019thekldptactivation pages 13-17): Tim Sonntag, James J. Moresco, John R. Yates, and Marc Montminy. The kldpt activation loop motif is critical for mark kinase activity. PLOS ONE, 14:e0225727, Dec 2019. URL: https://doi.org/10.1371/journal.pone.0225727, doi:10.1371/journal.pone.0225727. This article has 4 citations and is from a peer-reviewed journal.</w:t>
      </w:r>
    </w:p>
    <w:p>
      <w:pPr>
        <w:numPr>
          <w:ilvl w:val="0"/>
          <w:numId w:val="1001"/>
        </w:numPr>
      </w:pPr>
      <w:r>
        <w:t xml:space="preserve">(timm2006signalingfrommark pages 10-11): T. Timm, D. Matenia, X.-Y. Li, B. Griesshaber, and E.-M. Mandelkow. Signaling from mark to tau: regulation, cytoskeletal crosstalk, and pathological phosphorylation. Neurodegenerative Diseases, 3:207-217, Oct 2006. URL: https://doi.org/10.1159/000095258, doi:10.1159/000095258. This article has 63 citations and is from a peer-reviewed journal.</w:t>
      </w:r>
    </w:p>
    <w:p>
      <w:pPr>
        <w:numPr>
          <w:ilvl w:val="0"/>
          <w:numId w:val="1001"/>
        </w:numPr>
      </w:pPr>
      <w:r>
        <w:t xml:space="preserve">(timm2006signalingfrommark pages 4-5): T. Timm, D. Matenia, X.-Y. Li, B. Griesshaber, and E.-M. Mandelkow. Signaling from mark to tau: regulation, cytoskeletal crosstalk, and pathological phosphorylation. Neurodegenerative Diseases, 3:207-217, Oct 2006. URL: https://doi.org/10.1159/000095258, doi:10.1159/000095258. This article has 63 citations and is from a peer-reviewed journal.</w:t>
      </w:r>
    </w:p>
    <w:p>
      <w:pPr>
        <w:numPr>
          <w:ilvl w:val="0"/>
          <w:numId w:val="1001"/>
        </w:numPr>
      </w:pPr>
      <w:r>
        <w:t xml:space="preserve">(timm2006signalingfrommark pages 5-6): T. Timm, D. Matenia, X.-Y. Li, B. Griesshaber, and E.-M. Mandelkow. Signaling from mark to tau: regulation, cytoskeletal crosstalk, and pathological phosphorylation. Neurodegenerative Diseases, 3:207-217, Oct 2006. URL: https://doi.org/10.1159/000095258, doi:10.1159/000095258. This article has 63 citations and is from a peer-reviewed journal.</w:t>
      </w:r>
    </w:p>
    <w:p>
      <w:pPr>
        <w:numPr>
          <w:ilvl w:val="0"/>
          <w:numId w:val="1001"/>
        </w:numPr>
      </w:pPr>
      <w:r>
        <w:t xml:space="preserve">(timm2008structureandregulation pages 2-4): Thomas Timm, Alexander Marx, Saravanan Panneerselvam, Eckhard Mandelkow, and Eva-Maria Mandelkow. Structure and regulation of mark, a kinase involved in abnormal phosphorylation of tau protein. BMC Neuroscience, Dec 2008. URL: https://doi.org/10.1186/1471-2202-9-s2-s9, doi:10.1186/1471-2202-9-s2-s9. This article has 84 citations and is from a peer-reviewed journal.</w:t>
      </w:r>
    </w:p>
    <w:p>
      <w:pPr>
        <w:numPr>
          <w:ilvl w:val="0"/>
          <w:numId w:val="1001"/>
        </w:numPr>
      </w:pPr>
      <w:r>
        <w:t xml:space="preserve">(timm2008structureandregulation pages 4-5): Thomas Timm, Alexander Marx, Saravanan Panneerselvam, Eckhard Mandelkow, and Eva-Maria Mandelkow. Structure and regulation of mark, a kinase involved in abnormal phosphorylation of tau protein. BMC Neuroscience, Dec 2008. URL: https://doi.org/10.1186/1471-2202-9-s2-s9, doi:10.1186/1471-2202-9-s2-s9. This article has 84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(unknownauthors2008structuralvariationsin pages 50-55): Structural variations in catalytic and ubiquitin–associated domains of Human protein kinase MARK1 and MARK3</w:t>
      </w:r>
    </w:p>
    <w:p>
      <w:pPr>
        <w:numPr>
          <w:ilvl w:val="0"/>
          <w:numId w:val="1001"/>
        </w:numPr>
      </w:pPr>
      <w:r>
        <w:t xml:space="preserve">(unknownauthors2008structuralvariationsina pages 11-14): Structural variations in catalytic and ubiquitin–associated domains of Human protein kinase MARK1 and MARK3</w:t>
      </w:r>
    </w:p>
    <w:p>
      <w:pPr>
        <w:numPr>
          <w:ilvl w:val="0"/>
          <w:numId w:val="1001"/>
        </w:numPr>
      </w:pPr>
      <w:r>
        <w:t xml:space="preserve">(alhakim2008controlofampkrelated pages 11-12): Abdallah K. Al-Hakim, Anna Zagorska, Louise Chapman, Maria Deak, Mark Peggie, and Dario R. Alessi. Control of ampk-related kinases by usp9x and atypical lys29/lys33-linked polyubiquitin chains. Biochemical Journal, 411:249-260, Mar 2008. URL: https://doi.org/10.1042/bj20080067, doi:10.1042/bj20080067. This article has 337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(annadurai2017microtubuleaffinityregulatingkinases pages 1-2): Narendran Annadurai, Khushboo Agrawal, Petr Džubák, Marián Hajdúch, and Viswanath Das. Microtubule affinity-regulating kinases are potential druggable targets for alzheimer’s disease. Cellular and Molecular Life Sciences, 74:4159-4169, Jun 2017. URL: https://doi.org/10.1007/s00018-017-2574-1, doi:10.1007/s00018-017-2574-1. This article has 48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(naz2013microtubuleaffinityregulatingkinase pages 8-10): Farha Naz, Farah Anjum, Asimul Islam, Faizan Ahmad, and Md. Imtaiyaz Hassan. Microtubule affinity-regulating kinase 4: structure, function, and regulation. Cell Biochemistry and Biophysics, 67:485-499, Mar 2013. URL: https://doi.org/10.1007/s12013-013-9550-7, doi:10.1007/s12013-013-9550-7. This article has 121 citations and is from a peer-reviewed journal.</w:t>
      </w:r>
    </w:p>
    <w:p>
      <w:pPr>
        <w:numPr>
          <w:ilvl w:val="0"/>
          <w:numId w:val="1001"/>
        </w:numPr>
      </w:pPr>
      <w:r>
        <w:t xml:space="preserve">(panneerselvam2006structureofthe pages 1-2): S. Panneerselvam, A. Marx, E. Mandelkow, and E. Mandelkow. Structure of the catalytic and ubiquitin-associated domains of the protein kinase mark/par-1. Structure, 14 2:173-83, Feb 2006. URL: https://doi.org/10.1016/j.str.2005.09.022, doi:10.1016/j.str.2005.09.022. This article has 93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(sonntag2019thekldptactivation pages 1-2): Tim Sonntag, James J. Moresco, John R. Yates, and Marc Montminy. The kldpt activation loop motif is critical for mark kinase activity. PLOS ONE, 14:e0225727, Dec 2019. URL: https://doi.org/10.1371/journal.pone.0225727, doi:10.1371/journal.pone.0225727. This article has 4 citations and is from a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2025-07-02T20:28:05Z</dcterms:created>
  <dcterms:modified xsi:type="dcterms:W3CDTF">2025-07-02T20:28:05Z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