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Member of the type I Activin-like kinase (ALK) branch of the TGF-β receptor family; ALK5 shares 60–79 % sequence identity with ALK4 and ALK7 but only ~40 % with type II receptors, underscoring a distinct evolutionary sub-clade within metazoan serine/threonine kinases (unknownauthors2023molecularinsightsinto pages 26-31).</w:t>
      </w:r>
      <w:r>
        <w:br/>
      </w:r>
      <w:r>
        <w:t xml:space="preserve">• Retains the bilobal protein-kinase core found in all eukaryotic kinases, but uniquely acquires an N-terminal glycine/serine-rich (GS) regulatory domain and an L45 loop that are absent from type II receptors (goebel2019structuralbiologyof pages 9-11).</w:t>
      </w:r>
      <w:r>
        <w:br/>
      </w:r>
      <w:r>
        <w:t xml:space="preserve">• The signaling module comprising ligand, type I, and type II receptors is conserved across metazoans, indicating early evolutionary origin of this kinase lineage (massague2023tgfβsignalingin pages 6-8).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[protein-Ser/Thr] ⇌ ADP + [protein-phospho-Ser/Thr] (massague2023tgfβsignalingin pages 6-8).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Activity requires divalent Mg²⁺ in biochemical assays (inman2002sb431542isa pages 2-3).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High specificity for the C-terminal S-X-S motif of receptor-regulated SMADs, generating a pSer-X-pSer signature (goebel2019structuralbiologyof pages 8-9).</w:t>
      </w:r>
      <w:r>
        <w:br/>
      </w:r>
      <w:r>
        <w:t xml:space="preserve">• No broader consensus motif beyond the SXS core has been reported in the cited datasets (massague2023tgfβsignalingin pages 6-8).</w:t>
      </w:r>
    </w:p>
    <w:p>
      <w:pPr>
        <w:pStyle w:val="BodyText"/>
      </w:pPr>
      <w:r>
        <w:t xml:space="preserve">Structure</w:t>
      </w:r>
      <w:r>
        <w:br/>
      </w:r>
      <w:r>
        <w:t xml:space="preserve">• Domain layout: extracellular cysteine-rich ligand-binding ectodomain → single-pass transmembrane helix → ~30-residue GS domain → intracellular serine/threonine kinase domain with N- and C-lobes (unknownauthors2023engineeredantibodiesfor pages 20-24).</w:t>
      </w:r>
      <w:r>
        <w:br/>
      </w:r>
      <w:r>
        <w:t xml:space="preserve">• N-lobe features a five-stranded β-sheet and the αC helix; C-lobe is predominantly α-helical (goebel2019structuralbiologyof pages 8-9).</w:t>
      </w:r>
      <w:r>
        <w:br/>
      </w:r>
      <w:r>
        <w:t xml:space="preserve">• L45 loop between β4 and β5 dictates SMAD docking selectivity (goebel2019structuralbiologyof pages 8-9).</w:t>
      </w:r>
      <w:r>
        <w:br/>
      </w:r>
      <w:r>
        <w:t xml:space="preserve">• Catalytic Lys232 (β3)–Glu245 (αC) salt bridge forms in the active state; FKBP12 binding disrupts this bridge and occludes the ATP pocket (goebel2019structuralbiologyof pages 9-11).</w:t>
      </w:r>
      <w:r>
        <w:br/>
      </w:r>
      <w:r>
        <w:t xml:space="preserve">• Activation involves GS-domain phosphorylation–induced realignment of the αC helix and assembly of the hydrophobic regulatory spine; activation-loop phosphorylation is not required (goebel2019structuralbiologyof pages 9-11).</w:t>
      </w:r>
      <w:r>
        <w:br/>
      </w:r>
      <w:r>
        <w:t xml:space="preserve">• Multiple crystal structures of apo and inhibitor-bound kinase domains, including PDB 3KCF (pyrazolone), 3TZM (SB-431542) and indolinone complexes, define the 3-D architecture (unknownauthors2023molecularinsightsinto pages 272-275).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modifications</w:t>
      </w:r>
      <w:r>
        <w:br/>
      </w:r>
      <w:r>
        <w:t xml:space="preserve">– Phosphorylation of conserved Ser/Thr residues within the GS domain by constitutively active TGFBR2 converts the receptor to an active conformation and creates a SMAD docking site (hinck2011structuresoftgfβ pages 1-2).</w:t>
      </w:r>
      <w:r>
        <w:br/>
      </w:r>
      <w:r>
        <w:t xml:space="preserve">– Autophosphorylation events in the kinase domain have been detected, although specific sites are not detailed in the cited excerpts (unknownauthors2023molecularinsightsinto pages 26-31).</w:t>
      </w:r>
    </w:p>
    <w:p>
      <w:pPr>
        <w:pStyle w:val="BodyText"/>
      </w:pPr>
      <w:r>
        <w:t xml:space="preserve">Protein–protein interactions and allostery</w:t>
      </w:r>
      <w:r>
        <w:br/>
      </w:r>
      <w:r>
        <w:t xml:space="preserve">– FKBP12 binds the unphosphorylated GS domain, stabilising an inactive conformation and preventing ligand-independent signaling; phosphorylation releases FKBP12 (goebel2019structuralbiologyof pages 9-11, massague2023tgfβsignalingin pages 6-8).</w:t>
      </w:r>
      <w:r>
        <w:br/>
      </w:r>
      <w:r>
        <w:t xml:space="preserve">– The pseudoreceptor BAMBI associates with the receptor complex and limits SMAD3 phosphorylation as part of a negative feedback loop (unknownauthors2023molecularinsightsinto pages 26-31).</w:t>
      </w:r>
    </w:p>
    <w:p>
      <w:pPr>
        <w:pStyle w:val="BodyText"/>
      </w:pPr>
      <w:r>
        <w:t xml:space="preserve">Function</w:t>
      </w:r>
      <w:r>
        <w:br/>
      </w:r>
      <w:r>
        <w:t xml:space="preserve">• Forms a heterotetrameric complex of two TGFBR2 and two TGFBR1 molecules upon TGFB1-3 binding; TGFBR2 phosphorylates and activates TGFBR1 (hinck2011structuresoftgfβ pages 1-2).</w:t>
      </w:r>
      <w:r>
        <w:br/>
      </w:r>
      <w:r>
        <w:t xml:space="preserve">• Activated ALK5 phosphorylates SMAD2 and SMAD3, which then pair with SMAD4 and translocate to the nucleus to regulate transcription (massague2023tgfβsignalingin pages 6-8).</w:t>
      </w:r>
      <w:r>
        <w:br/>
      </w:r>
      <w:r>
        <w:t xml:space="preserve">• Governs epithelial–mesenchymal transition, extracellular matrix production, immune suppression, and fibrotic as well as oncogenic processes (inman2002sb431542isa pages 1-2).</w:t>
      </w:r>
      <w:r>
        <w:br/>
      </w:r>
      <w:r>
        <w:t xml:space="preserve">• Expression is broadly ubiquitous across human tissues (unknownauthors2023molecularinsightsinto pages 26-31).</w:t>
      </w:r>
    </w:p>
    <w:p>
      <w:pPr>
        <w:pStyle w:val="BodyText"/>
      </w:pPr>
      <w:r>
        <w:t xml:space="preserve">Inhibitors</w:t>
      </w:r>
      <w:r>
        <w:br/>
      </w:r>
      <w:r>
        <w:t xml:space="preserve">• SB-431542: ATP-competitive inhibitor; IC₅₀ ≈ 94 nM; selectively blocks ALK5/4/7 and abrogates SMAD2 phosphorylation (inman2002sb431542isa pages 2-3).</w:t>
      </w:r>
      <w:r>
        <w:br/>
      </w:r>
      <w:r>
        <w:t xml:space="preserve">• SB-505124: Three- to five-fold more potent than SB-431542 while retaining selectivity for ALK4/5/7 (byfield2004sb505124isa pages 1-1).</w:t>
      </w:r>
      <w:r>
        <w:br/>
      </w:r>
      <w:r>
        <w:t xml:space="preserve">• Additional co-crystallised inhibitors include pyrazolone (PDB 3KCF) and indolinone scaffolds (unknownauthors2023molecularinsightsinto pages 272-275).</w:t>
      </w:r>
      <w:r>
        <w:br/>
      </w:r>
      <w:r>
        <w:t xml:space="preserve">• Key binding determinants: hinge hydrogen bond to His283 and contacts with Lys232, Glu245, Tyr249 and Asp351 stabilize ATP-site ligands (jiang20182dqsarstudymolecular pages 11-14).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Kinase-domain mutation T204D disrupts FKBP12 binding, yields ligand-independent activity and is linked to ovarian sex cord-stromal tumors (goebel2019structuralbiologyof pages 9-11).</w:t>
      </w:r>
      <w:r>
        <w:br/>
      </w:r>
      <w:r>
        <w:t xml:space="preserve">• GS-domain mutation R206H confers constitutive activity and underlies fibrodysplasia ossificans progressiva (goebel2019structuralbiologyof pages 9-11).</w:t>
      </w:r>
      <w:r>
        <w:br/>
      </w:r>
      <w:r>
        <w:t xml:space="preserve">• Somatic loss-of-function mutations occur across diverse cancers, and inherited variants in the pathway predispose to connective-tissue disorders (massague2023tgfβsignalingin pages 6-8).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(goebel2019structuralbiologyof pages 9-11): Erich J Goebel, Kaitlin N Hart, Jason C McCoy, and Thomas B Thompson. Structural biology of the tgfβ family. Experimental Biology and Medicine, 244:1530-1546, Oct 2019. URL: https://doi.org/10.1177/1535370219880894, doi:10.1177/1535370219880894. This article has 39 citations and is from a peer-reviewed journal.</w:t>
      </w:r>
    </w:p>
    <w:p>
      <w:pPr>
        <w:numPr>
          <w:ilvl w:val="0"/>
          <w:numId w:val="1001"/>
        </w:numPr>
      </w:pPr>
      <w:r>
        <w:t xml:space="preserve">(massague2023tgfβsignalingin pages 6-8): Joan Massagué and Dean Sheppard. Tgf-β signaling in health and disease. Cell, 186:4007-4037, Sep 2023. URL: https://doi.org/10.1016/j.cell.2023.07.036, doi:10.1016/j.cell.2023.07.036. This article has 431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(goebel2019structuralbiologyof pages 8-9): Erich J Goebel, Kaitlin N Hart, Jason C McCoy, and Thomas B Thompson. Structural biology of the tgfβ family. Experimental Biology and Medicine, 244:1530-1546, Oct 2019. URL: https://doi.org/10.1177/1535370219880894, doi:10.1177/1535370219880894. This article has 39 citations and is from a peer-reviewed journal.</w:t>
      </w:r>
    </w:p>
    <w:p>
      <w:pPr>
        <w:numPr>
          <w:ilvl w:val="0"/>
          <w:numId w:val="1001"/>
        </w:numPr>
      </w:pPr>
      <w:r>
        <w:t xml:space="preserve">(hinck2011structuresoftgfβ pages 1-2): A. Hinck and M. O’Connor-McCourt. Structures of tgf-β receptor complexes: implications for function and therapeutic intervention using ligand traps. Current pharmaceutical biotechnology, 12 12:2081-98, Nov 2011. URL: https://doi.org/10.2174/138920111798808383, doi:10.2174/138920111798808383. This article has 26 citations and is from a peer-reviewed journal.</w:t>
      </w:r>
    </w:p>
    <w:p>
      <w:pPr>
        <w:numPr>
          <w:ilvl w:val="0"/>
          <w:numId w:val="1001"/>
        </w:numPr>
      </w:pPr>
      <w:r>
        <w:t xml:space="preserve">(inman2002sb431542isa pages 1-2): Gareth J. Inman, Francisco J. Nicolás, James F. Callahan, John D. Harling, Laramie M. Gaster, Alastair D. Reith, Nicholas J. Laping, and Caroline S. Hill. Sb-431542 is a potent and specific inhibitor of transforming growth factor-β superfamily type i activin receptor-like kinase (alk) receptors alk4, alk5, and alk7. Molecular Pharmacology, 62:65-74, Jul 2002. URL: https://doi.org/10.1124/mol.62.1.65, doi:10.1124/mol.62.1.65. This article has 2036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(inman2002sb431542isa pages 2-3): Gareth J. Inman, Francisco J. Nicolás, James F. Callahan, John D. Harling, Laramie M. Gaster, Alastair D. Reith, Nicholas J. Laping, and Caroline S. Hill. Sb-431542 is a potent and specific inhibitor of transforming growth factor-β superfamily type i activin receptor-like kinase (alk) receptors alk4, alk5, and alk7. Molecular Pharmacology, 62:65-74, Jul 2002. URL: https://doi.org/10.1124/mol.62.1.65, doi:10.1124/mol.62.1.65. This article has 2036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(unknownauthors2023engineeredantibodiesfor pages 20-24): Engineered Antibodies for Igsf8 and Tgfbr1 Modulate TGF-β Signals in Melanoma</w:t>
      </w:r>
    </w:p>
    <w:p>
      <w:pPr>
        <w:numPr>
          <w:ilvl w:val="0"/>
          <w:numId w:val="1001"/>
        </w:numPr>
      </w:pPr>
      <w:r>
        <w:t xml:space="preserve">(unknownauthors2023molecularinsightsinto pages 26-31): Molecular insights into signalling mechanisms within TGF-β superfamily</w:t>
      </w:r>
    </w:p>
    <w:p>
      <w:pPr>
        <w:numPr>
          <w:ilvl w:val="0"/>
          <w:numId w:val="1001"/>
        </w:numPr>
      </w:pPr>
      <w:r>
        <w:t xml:space="preserve">(unknownauthors2023molecularinsightsinto pages 272-275): Molecular insights into signalling mechanisms within TGF-β superfamily</w:t>
      </w:r>
    </w:p>
    <w:p>
      <w:pPr>
        <w:numPr>
          <w:ilvl w:val="0"/>
          <w:numId w:val="1001"/>
        </w:numPr>
      </w:pPr>
      <w:r>
        <w:t xml:space="preserve">(byfield2004sb505124isa pages 1-1): Stacey DaCosta Byfield, Christopher Major, Nicholas J. Laping, and Anita B. Roberts. Sb-505124 is a selective inhibitor of transforming growth factor-β type i receptors alk4, alk5, and alk7. Molecular Pharmacology, 65:744-752, Mar 2004. URL: https://doi.org/10.1124/mol.65.3.744, doi:10.1124/mol.65.3.744. This article has 504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(jiang20182dqsarstudymolecular pages 11-14): Meng-Nan Jiang, Xiao-Ping Zhou, Dong-Ru Sun, Huan Gao, Qing-Chuan Zheng, Hong-Xing Zhang, and Di Liang. 2d-qsar study, molecular docking, and molecular dynamics simulation studies of interaction mechanism between inhibitors and transforming growth factor-beta receptor i (alk5). Journal of Biomolecular Structure and Dynamics, 36:3705-3717, Oct 2018. URL: https://doi.org/10.1080/07391102.2017.1396256, doi:10.1080/07391102.2017.1396256. This article has 5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2025-07-02T17:27:10Z</dcterms:created>
  <dcterms:modified xsi:type="dcterms:W3CDTF">2025-07-02T17:27:10Z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