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Mechanistic target of rapamycin (mTOR) is an atypical serine/threonine kinase classified within the phosphatidylinositol-3-kinase-related kinase (PIKK) branch of the human kinome, grouping it with ATM, ATR, DNA-PK, SMG1 and TRRAP (chao2019cryoeminsightinto pages 1-3).</w:t>
      </w:r>
      <w:r>
        <w:br/>
      </w:r>
      <w:r>
        <w:t xml:space="preserve">• Orthologs are conserved across eukaryotes, including Saccharomyces cerevisiae TOR1/TOR2, Drosophila melanogaster dTOR, Caenorhabditis elegans LET-363, and higher vertebrate paralogs that share &gt;95 % identity between human, mouse and rat proteins (unknownauthors2004theroleof pages 23-27, unknownauthors2005themammaliantarget pages 1-3).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• ATP + [protein]-Ser/Thr → ADP + [protein]-Ser/Thr-phosphate (unknownauthors2013mtorkinasestructure pages 10-11).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Catalysis requires two Mg²⁺ ions that coordinate ATP in the active site, as demonstrated in ADP-MgF₃-Mg²⁺ transition-state structures (unknownauthors2013mtorkinasestructure pages 10-11).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The kinase domain preferentially targets serine or threonine residues followed by proline within a hydrophobic consensus Φ-Φ-[ST]-P sequence (chao2019cryoeminsightinto pages 7-8).</w:t>
      </w:r>
      <w:r>
        <w:br/>
      </w:r>
      <w:r>
        <w:t xml:space="preserve">• mTORC1 substrates carry an N-terminal TOR signaling (TOS) motif (Φ-Φ-x-x-Φ) that docks on the RAPTOR caspase-like domain and positions the phosphorylation site near the catalytic cleft (tafur2020structuralinsightsinto pages 2-4).</w:t>
      </w:r>
      <w:r>
        <w:br/>
      </w:r>
      <w:r>
        <w:t xml:space="preserve">• Experimentally validated substrates matching these motifs include S6K1, 4E-BP1 and PRAS40 for mTORC1, and Akt Ser473, SGK1 and conventional/novel PKCs for mTORC2 (scaiola2020the3.2åresolution pages 1-2, chao2019cryoeminsightinto pages 5-6).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organization: N-HEAT (32 repeats) → M-HEAT → FAT α-solenoid → FRB (FKBP12-rapamycin binding) insertion → PI3K-like kinase domain with LBE insertion binding mLST8 → C-terminal FATC tail (chao2019cryoeminsightinto pages 1-3, unknownauthors2013mtorkinasestructure pages 3-4).</w:t>
      </w:r>
      <w:r>
        <w:br/>
      </w:r>
      <w:r>
        <w:t xml:space="preserve">• High-resolution cryo-EM shows mTORC1 as a lozenge-shaped dimer of mTOR–RAPTOR–mLST8 heterotrimers (PDB 6BCU) where Raptor’s caspase-like domain abuts the FRB gate to mediate substrate docking (aylett2016architectureofhuman pages 7-10).</w:t>
      </w:r>
      <w:r>
        <w:br/>
      </w:r>
      <w:r>
        <w:t xml:space="preserve">• mTORC2 adopts a compact rhomboid dimer in which RICTOR and SIN1 form an intertwined scaffold around the catalytic cores, rationalising rapamycin insensitivity (scaiola2020the3.2åresolution pages 1-2).</w:t>
      </w:r>
      <w:r>
        <w:br/>
      </w:r>
      <w:r>
        <w:t xml:space="preserve">• The FAT domain clamps the N- and C-lobes of the kinase, distorting the catalytic spine and widening the active site; Rheb-GTP binding realigns these elements and closes the cleft to activate catalysis (chao2019cryoeminsightinto pages 6-7).</w:t>
      </w:r>
      <w:r>
        <w:br/>
      </w:r>
      <w:r>
        <w:t xml:space="preserve">• The activation loop is pre-ordered and does not require phosphorylation; the FRB helix acts as a steric gatekeeper controlling substrate entry and providing the rapamycin pocket (unknownauthors2013mtorkinasestructure pages 6-8, bai2010keyfactorsin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Ser2448 is phosphorylated by S6K1 in a negative feedback loop, although several reports attribute this site to Akt, illustrating a documented contradiction (bai2010keyfactorsin pages 1-2, figueiredo2017considerationsonmtor pages 1-3).</w:t>
      </w:r>
      <w:r>
        <w:br/>
      </w:r>
      <w:r>
        <w:t xml:space="preserve">• Thr2446 is phosphorylated by AMPK under energy stress and attenuates mTORC1 signalling (bai2010keyfactorsin pages 1-2).</w:t>
      </w:r>
      <w:r>
        <w:br/>
      </w:r>
      <w:r>
        <w:t xml:space="preserve">• Ser2481 undergoes mTOR autophosphorylation and tracks intrinsic kinase activity (bai2010keyfactorsin pages 1-2).</w:t>
      </w:r>
      <w:r>
        <w:br/>
      </w:r>
      <w:r>
        <w:t xml:space="preserve">• Ser2159 and Ser1261 phosphorylation events have been reported to enhance mTORC1 output (tchevkina2012proteinphosphorylationas pages 1-4).</w:t>
      </w:r>
      <w:r>
        <w:br/>
      </w:r>
      <w:r>
        <w:t xml:space="preserve">• Lys1218 acetylation has been observed and proposed to modulate complex stability (chao2019cryoeminsightinto pages 7-8).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• Rheb-GTP engages the N-HEAT, M-HEAT and FAT surfaces, relieving the FAT clamp and boosting catalytic k_cat (chao2019cryoeminsightinto pages 6-7).</w:t>
      </w:r>
      <w:r>
        <w:br/>
      </w:r>
      <w:r>
        <w:t xml:space="preserve">• Amino acid–loaded Rag GTPases recruit mTORC1 to lysosomes, enabling Rheb-dependent activation (chao2019cryoeminsightinto pages 3-5).</w:t>
      </w:r>
      <w:r>
        <w:br/>
      </w:r>
      <w:r>
        <w:t xml:space="preserve">• PRAS40, FKBP38 and DEPTOR bind FRB or Raptor interfaces to inhibit substrate access and reduce activity (chao2019cryoeminsightinto pages 5-6, walchli2021regulationofhuman pages 17-18).</w:t>
      </w:r>
      <w:r>
        <w:br/>
      </w:r>
      <w:r>
        <w:t xml:space="preserve">• AMPK phosphorylates Raptor to suppress mTORC1 when cellular energy is low (bai2010keyfactorsin pages 2-4).</w:t>
      </w:r>
      <w:r>
        <w:br/>
      </w:r>
      <w:r>
        <w:t xml:space="preserve">• FKBP12-rapamycin binds the FRB domain and sterically blocks substrate docking without disassembling the complex (bai2010keyfactorsin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GTEx transcriptomics demonstrates ubiquitous MTOR expression with higher levels in metabolically active tissues such as muscle, liver and brain (chao2019cryoeminsightinto pages 7-8).</w:t>
      </w:r>
      <w:r>
        <w:br/>
      </w:r>
      <w:r>
        <w:t xml:space="preserve">• mTORC1 drives anabolic growth by phosphorylating S6K1, 4E-BP1, ULK1 and TFEB, thereby stimulating protein synthesis, lipid production and suppressing autophagy (bai2010keyfactorsin pages 2-4, chao2019cryoeminsightinto pages 5-6).</w:t>
      </w:r>
      <w:r>
        <w:br/>
      </w:r>
      <w:r>
        <w:t xml:space="preserve">• mTORC2 phosphorylates the hydrophobic motif of Akt (Ser473), SGK1 and several PKC isoforms, regulating cell survival, ion transport and cytoskeletal organisation (scaiola2020the3.2åresolution pages 1-2).</w:t>
      </w:r>
      <w:r>
        <w:br/>
      </w:r>
      <w:r>
        <w:t xml:space="preserve">• Upstream growth-factor signalling via PI3K-Akt inhibits the TSC1/2 GAP complex, increasing Rheb-GTP and activating mTORC1, whereas AMPK counteracts this under ATP depletion (inoki2005signalingbytarget pages 1-1).</w:t>
      </w:r>
      <w:r>
        <w:br/>
      </w:r>
      <w:r>
        <w:t xml:space="preserve">• Subcellular localisation studies place active mTOR predominantly on lysosomal membranes, with additional cytoplasmic and nuclear pools where mTOR-Rheb assemblies have been detected (chao2019cryoeminsightinto pages 7-8, unknownauthors2004theroleof pages 23-27).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Allosteric macrolides: rapamycin (sirolimus) and its rapalogs temsirolimus (CCI-779), everolimus (RAD001) and AP23573 form FKBP12–drug complexes that bind the FRB domain and selectively inhibit mTORC1 (unknownauthors2005themammaliantarget pages 1-3, bai2010keyfactorsin pages 1-2).</w:t>
      </w:r>
      <w:r>
        <w:br/>
      </w:r>
      <w:r>
        <w:t xml:space="preserve">• ATP-competitive inhibitors Torin1/2, PP242, MLN0128 and PI-103 occupy the catalytic cleft and suppress both complexes; crystal structures highlight stacking of Trp2239 as a key selectivity determinant (unknownauthors2013mtorkinasestructure pages 8-10, tafur2020structuralinsightsinto pages 2-4).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Hyperactive MTOR signalling is implicated in cancers, metabolic disorders and neurological diseases including tuberous sclerosis complex and focal cortical dysplasia (scaiola2020the3.2åresolution pages 1-2, walchli2021regulationofhuman pages 17-18).</w:t>
      </w:r>
      <w:r>
        <w:br/>
      </w:r>
      <w:r>
        <w:t xml:space="preserve">• Recurrent activating or drug-resistant mutations cluster in functional domains: E1799K, S2215Y and F2415I in the kinase lobe enhance activity, whereas S2035F/S2035I in the FRB domain confer rapamycin resistance (tafur2020structuralinsightsinto pages 18-19, chao2019cryoeminsightinto pages 7-8, unknownauthors2004theroleof pages 27-32).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(bai2010keyfactorsin pages 1-2): Xiaochun Bai and Yu Jiang. Key factors in mtor regulation. Cellular and Molecular Life Sciences, 67:239-253, Oct 2010. URL: https://doi.org/10.1007/s00018-009-0163-7, doi:10.1007/s00018-009-0163-7. This article has 181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(bai2010keyfactorsin pages 2-4): Xiaochun Bai and Yu Jiang. Key factors in mtor regulation. Cellular and Molecular Life Sciences, 67:239-253, Oct 2010. URL: https://doi.org/10.1007/s00018-009-0163-7, doi:10.1007/s00018-009-0163-7. This article has 181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(chao2019cryoeminsightinto pages 5-6): L. Chao and J. Avruch. Cryo-em insight into the structure of mtor complex 1 and its interactions with rheb and substrates. F1000Research, Jan 2019. URL: https://doi.org/10.12688/f1000research.16109.1, doi:10.12688/f1000research.16109.1. This article has 37 citations and is from a peer-reviewed journal.</w:t>
      </w:r>
    </w:p>
    <w:p>
      <w:pPr>
        <w:numPr>
          <w:ilvl w:val="0"/>
          <w:numId w:val="1001"/>
        </w:numPr>
      </w:pPr>
      <w:r>
        <w:t xml:space="preserve">(chao2019cryoeminsightinto pages 7-8): L. Chao and J. Avruch. Cryo-em insight into the structure of mtor complex 1 and its interactions with rheb and substrates. F1000Research, Jan 2019. URL: https://doi.org/10.12688/f1000research.16109.1, doi:10.12688/f1000research.16109.1. This article has 37 citations and is from a peer-reviewed journal.</w:t>
      </w:r>
    </w:p>
    <w:p>
      <w:pPr>
        <w:numPr>
          <w:ilvl w:val="0"/>
          <w:numId w:val="1001"/>
        </w:numPr>
      </w:pPr>
      <w:r>
        <w:t xml:space="preserve">(scaiola2020the3.2åresolution pages 1-2): Alain Scaiola, Francesca Mangia, Stefan Imseng, Daniel Boehringer, Karolin Berneiser, Mitsugu Shimobayashi, Edward Stuttfeld, Michael N. Hall, Nenad Ban, and Timm Maier. The 3.2-å resolution structure of human mtorc2. Science Advances, Nov 2020. URL: https://doi.org/10.1126/sciadv.abc1251, doi:10.1126/sciadv.abc1251. This article has 106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(tafur2020structuralinsightsinto pages 18-19): Lucas Tafur, Jennifer Kefauver, and Robbie Loewith. Structural insights into tor signaling. Genes, 11:885, Aug 2020. URL: https://doi.org/10.3390/genes11080885, doi:10.3390/genes11080885. This article has 47 citations and is from a peer-reviewed journal.</w:t>
      </w:r>
    </w:p>
    <w:p>
      <w:pPr>
        <w:numPr>
          <w:ilvl w:val="0"/>
          <w:numId w:val="1001"/>
        </w:numPr>
      </w:pPr>
      <w:r>
        <w:t xml:space="preserve">(tafur2020structuralinsightsinto pages 2-4): Lucas Tafur, Jennifer Kefauver, and Robbie Loewith. Structural insights into tor signaling. Genes, 11:885, Aug 2020. URL: https://doi.org/10.3390/genes11080885, doi:10.3390/genes11080885. This article has 47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(unknownauthors2004theroleof pages 27-32): The role of phosphorylation in the regulation of the mammalian target of rapamycin</w:t>
      </w:r>
    </w:p>
    <w:p>
      <w:pPr>
        <w:numPr>
          <w:ilvl w:val="0"/>
          <w:numId w:val="1001"/>
        </w:numPr>
      </w:pPr>
      <w:r>
        <w:t xml:space="preserve">(unknownauthors2013mtorkinasestructure pages 6-8): mTOR kinase structure, mechanism and regulation</w:t>
      </w:r>
    </w:p>
    <w:p>
      <w:pPr>
        <w:numPr>
          <w:ilvl w:val="0"/>
          <w:numId w:val="1001"/>
        </w:numPr>
      </w:pPr>
      <w:r>
        <w:t xml:space="preserve">(aylett2016architectureofhuman pages 7-10): Christopher H. S. Aylett, Evelyn Sauer, Stefan Imseng, Daniel Boehringer, Michael N. Hall, Nenad Ban, and Timm Maier. Architecture of human mtor complex 1. Science, 351:48-52, Jan 2016. URL: https://doi.org/10.1126/science.aaa3870, doi:10.1126/science.aaa3870. This article has 404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(chao2019cryoeminsightinto pages 1-3): L. Chao and J. Avruch. Cryo-em insight into the structure of mtor complex 1 and its interactions with rheb and substrates. F1000Research, Jan 2019. URL: https://doi.org/10.12688/f1000research.16109.1, doi:10.12688/f1000research.16109.1. This article has 37 citations and is from a peer-reviewed journal.</w:t>
      </w:r>
    </w:p>
    <w:p>
      <w:pPr>
        <w:numPr>
          <w:ilvl w:val="0"/>
          <w:numId w:val="1001"/>
        </w:numPr>
      </w:pPr>
      <w:r>
        <w:t xml:space="preserve">(chao2019cryoeminsightinto pages 3-5): L. Chao and J. Avruch. Cryo-em insight into the structure of mtor complex 1 and its interactions with rheb and substrates. F1000Research, Jan 2019. URL: https://doi.org/10.12688/f1000research.16109.1, doi:10.12688/f1000research.16109.1. This article has 37 citations and is from a peer-reviewed journal.</w:t>
      </w:r>
    </w:p>
    <w:p>
      <w:pPr>
        <w:numPr>
          <w:ilvl w:val="0"/>
          <w:numId w:val="1001"/>
        </w:numPr>
      </w:pPr>
      <w:r>
        <w:t xml:space="preserve">(inoki2005signalingbytarget pages 1-1): Ken Inoki, Hongjiao Ouyang, Yong Li, and Kun-Liang Guan. Signaling by target of rapamycin proteins in cell growth control. Microbiology and Molecular Biology Reviews, 69:79-100, Mar 2005. URL: https://doi.org/10.1128/mmbr.69.1.79-100.2005, doi:10.1128/mmbr.69.1.79-100.2005. This article has 465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(unknownauthors2004theroleof pages 23-27): The role of phosphorylation in the regulation of the mammalian target of rapamycin</w:t>
      </w:r>
    </w:p>
    <w:p>
      <w:pPr>
        <w:numPr>
          <w:ilvl w:val="0"/>
          <w:numId w:val="1001"/>
        </w:numPr>
      </w:pPr>
      <w:r>
        <w:t xml:space="preserve">(unknownauthors2005themammaliantarget pages 1-3): The mammalian target of the rapamycin (mTOR) kinase pathway: its role in tumourigenesis and targeted antitumour therapy</w:t>
      </w:r>
    </w:p>
    <w:p>
      <w:pPr>
        <w:numPr>
          <w:ilvl w:val="0"/>
          <w:numId w:val="1001"/>
        </w:numPr>
      </w:pPr>
      <w:r>
        <w:t xml:space="preserve">(unknownauthors2013mtorkinasestructure pages 8-10): mTOR kinase structure, mechanism and regulation</w:t>
      </w:r>
    </w:p>
    <w:p>
      <w:pPr>
        <w:numPr>
          <w:ilvl w:val="0"/>
          <w:numId w:val="1001"/>
        </w:numPr>
      </w:pPr>
      <w:r>
        <w:t xml:space="preserve">(walchli2021regulationofhuman pages 17-18): Matthias Wälchli, Karolin Berneiser, Francesca Mangia, Stefan Imseng, Louise-Marie Craigie, Edward Stuttfeld, Michael N Hall, and Timm Maier. Regulation of human mtor complexes by deptor. eLife, Sep 2021. URL: https://doi.org/10.7554/elife.70871, doi:10.7554/elife.70871. This article has 33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(chao2019cryoeminsightinto pages 6-7): L. Chao and J. Avruch. Cryo-em insight into the structure of mtor complex 1 and its interactions with rheb and substrates. F1000Research, Jan 2019. URL: https://doi.org/10.12688/f1000research.16109.1, doi:10.12688/f1000research.16109.1. This article has 37 citations and is from a peer-reviewed journal.</w:t>
      </w:r>
    </w:p>
    <w:p>
      <w:pPr>
        <w:numPr>
          <w:ilvl w:val="0"/>
          <w:numId w:val="1001"/>
        </w:numPr>
      </w:pPr>
      <w:r>
        <w:t xml:space="preserve">(figueiredo2017considerationsonmtor pages 1-3): Vandré Casagrande Figueiredo, James F. Markworth, and David Cameron-Smith. Considerations on mtor regulation at serine 2448: implications for muscle metabolism studies. Cellular and Molecular Life Sciences, 74:2537-2545, Feb 2017. URL: https://doi.org/10.1007/s00018-017-2481-5, doi:10.1007/s00018-017-2481-5. This article has 101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(tchevkina2012proteinphosphorylationas pages 1-4): Elena Tchevkina and Andrey Komelkov. Protein phosphorylation as a key mechanism of mtorc1/2 signaling pathways. Protein Phosphorylation in Human Health, Sep 2012. URL: https://doi.org/10.5772/48274, doi:10.5772/48274. This article has 30 citations.</w:t>
      </w:r>
    </w:p>
    <w:p>
      <w:pPr>
        <w:numPr>
          <w:ilvl w:val="0"/>
          <w:numId w:val="1001"/>
        </w:numPr>
      </w:pPr>
      <w:r>
        <w:t xml:space="preserve">(unknownauthors2013mtorkinasestructure pages 10-11): mTOR kinase structure, mechanism and regulation</w:t>
      </w:r>
    </w:p>
    <w:p>
      <w:pPr>
        <w:numPr>
          <w:ilvl w:val="0"/>
          <w:numId w:val="1001"/>
        </w:numPr>
      </w:pPr>
      <w:r>
        <w:t xml:space="preserve">(unknownauthors2013mtorkinasestructure pages 3-4): mTOR kinase structure, mechanism and regulation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2025-07-02T20:28:10Z</dcterms:created>
  <dcterms:modified xsi:type="dcterms:W3CDTF">2025-07-02T20:28:10Z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