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The ABL2 kinase belongs to the tyrosine kinase (TK) group and the ABL family of nonreceptor tyrosine kinases (nRTKs) (manning2002theproteinkinase pages 3-3, colicelli2010abltyrosinekinases pages 10-12, colicelli2010abltyrosinekinases pages 5-7). The ABL family is part of a primary clade of 22 human nRTKs, most of which have an SH3-SH2-TK domain architecture (colicelli2010abltyrosinekinases pages 1-2). Phylogenetically, ABL kinases are grouped with SRC family kinases, indicating a close evolutionary relationship (colicelli2010abltyrosinekinases pages 10-12).</w:t>
      </w:r>
    </w:p>
    <w:p>
      <w:pPr>
        <w:pStyle w:val="BodyText"/>
      </w:pPr>
      <w:r>
        <w:t xml:space="preserve">ABL2 is a paralog of ABL1, having arisen from a gene duplication event of a single ancestral Abl gene early in vertebrate evolution (manning2002theproteinkinase pages 3-3, colicelli2010abltyrosinekinases pages 1-2, unknownauthors2022thecharacterizationof pages 17-24). This is supported by high sequence identity (&gt;90%) within the SH3-SH2-tyrosine kinase (TK) domain cassette and conserved intron-exon boundaries between the two genes (colicelli2010abltyrosinekinases pages 1-2, unknownauthors2022thecharacterizationof pages 17-24). Human ABL1 and ABL2 are more closely related to each other and their fly ortholog than to any other nonreceptor tyrosine kinases (colicelli2010abltyrosinekinases pages 1-2).</w:t>
      </w:r>
    </w:p>
    <w:p>
      <w:pPr>
        <w:pStyle w:val="BodyText"/>
      </w:pPr>
      <w:r>
        <w:t xml:space="preserve">Orthologs of ABL kinases are found in all metazoans, indicating an early evolutionary origin (colicelli2010abltyrosinekinases pages 1-2). A single ABL gene is present in nonvertebrate metazoans like the fruit fly (</w:t>
      </w:r>
      <w:r>
        <w:rPr>
          <w:i/>
          <w:iCs/>
        </w:rPr>
        <w:t xml:space="preserve">Drosophila melanogaster</w:t>
      </w:r>
      <w:r>
        <w:t xml:space="preserve">), sea urchin, and</w:t>
      </w:r>
      <w:r>
        <w:t xml:space="preserve"> </w:t>
      </w:r>
      <w:r>
        <w:rPr>
          <w:i/>
          <w:iCs/>
        </w:rPr>
        <w:t xml:space="preserve">Caenorhabditis elegans</w:t>
      </w:r>
      <w:r>
        <w:t xml:space="preserve"> </w:t>
      </w:r>
      <w:r>
        <w:t xml:space="preserve">(colicelli2010abltyrosinekinases pages 1-2, unknownauthors2022thecharacterizationof pages 17-24). Kinases with an ABL-like SH3-SH2-TK cassette are also present in unicellular protists such as</w:t>
      </w:r>
      <w:r>
        <w:t xml:space="preserve"> </w:t>
      </w:r>
      <w:r>
        <w:rPr>
          <w:i/>
          <w:iCs/>
        </w:rPr>
        <w:t xml:space="preserve">Monosiga brevicollis</w:t>
      </w:r>
      <w:r>
        <w:t xml:space="preserve"> </w:t>
      </w:r>
      <w:r>
        <w:t xml:space="preserve">(colicelli2010abltyrosinekinases pages 1-2). In vertebrates, ABL2 orthologs are conserved across species including primates, rodents, marsupials, birds, amphibians, and fish (colicelli2010abltyrosinekinases pages 27-36).</w:t>
      </w:r>
    </w:p>
    <w:bookmarkEnd w:id="9"/>
    <w:bookmarkStart w:id="10" w:name="reaction-catalyzed"/>
    <w:p>
      <w:pPr>
        <w:pStyle w:val="Heading2"/>
      </w:pPr>
      <w:r>
        <w:t xml:space="preserve">Reaction Catalyzed</w:t>
      </w:r>
    </w:p>
    <w:p>
      <w:pPr>
        <w:pStyle w:val="FirstParagraph"/>
      </w:pPr>
      <w:r>
        <w:t xml:space="preserve">ABL2 catalyzes the transfer of the gamma-phosphate group from an ATP molecule to a tyrosine residue on a protein substrate (colicelli2010abltyrosinekinases pages 5-7, yaronbarir2024theintrinsicsubstrate pages 3-4).</w:t>
      </w:r>
    </w:p>
    <w:bookmarkEnd w:id="10"/>
    <w:bookmarkStart w:id="11" w:name="cofactor-requirements"/>
    <w:p>
      <w:pPr>
        <w:pStyle w:val="Heading2"/>
      </w:pPr>
      <w:r>
        <w:t xml:space="preserve">Cofactor Requirements</w:t>
      </w:r>
    </w:p>
    <w:p>
      <w:pPr>
        <w:pStyle w:val="FirstParagraph"/>
      </w:pPr>
      <w:r>
        <w:t xml:space="preserve">The catalytic activity of ABL2 requires ATP as a cofactor and is dependent on the coordination of a divalent cation, such as Mg2+, which is essential for catalysis (colicelli2010abltyrosinekinases pages 5-7, irgit2025structureanddynamics pages 4-5).</w:t>
      </w:r>
    </w:p>
    <w:bookmarkEnd w:id="11"/>
    <w:bookmarkStart w:id="12" w:name="substrate-specificity"/>
    <w:p>
      <w:pPr>
        <w:pStyle w:val="Heading2"/>
      </w:pPr>
      <w:r>
        <w:t xml:space="preserve">Substrate Specificity</w:t>
      </w:r>
    </w:p>
    <w:p>
      <w:pPr>
        <w:pStyle w:val="FirstParagraph"/>
      </w:pPr>
      <w:r>
        <w:t xml:space="preserve">The intrinsic substrate motif for ABL kinases shows a preference for proline (P) at the +3 position and alanine (A) at the +1 position relative to the phosphorylated tyrosine (pY) (yaronbarir2024theintrinsicsubstrate pages 3-4). Aliphatic residues are favored at the -1 position (yaronbarir2024theintrinsicsubstrate pages 3-4). ABL2 and ABL1 share a similar substrate specificity motif characterized by the pattern (L/I/V)-pY-x-x-P, with a preference for hydrophobic amino acids (leucine, isoleucine, or valine) at the -1 position and proline at +3 (colicelli2010abltyrosinekinases pages 5-7). Additionally, acidic residues such as aspartate or glutamate are enriched at the -4, -3, and +1 positions (colicelli2010abltyrosinekinases pages 5-7).</w:t>
      </w:r>
    </w:p>
    <w:bookmarkEnd w:id="12"/>
    <w:bookmarkStart w:id="13" w:name="structure"/>
    <w:p>
      <w:pPr>
        <w:pStyle w:val="Heading2"/>
      </w:pPr>
      <w:r>
        <w:t xml:space="preserve">Structure</w:t>
      </w:r>
    </w:p>
    <w:p>
      <w:pPr>
        <w:pStyle w:val="FirstParagraph"/>
      </w:pPr>
      <w:r>
        <w:t xml:space="preserve">ABL2 is a multi-domain protein composed of an N-terminal CAP domain, an SH3 domain, an SH2 domain, a kinase (SH1) domain, and a long, divergent C-terminal region (unknownauthors2022thecharacterizationof pages 17-24, hantschel2012structureregulationsignaling pages 1-2). The kinase domain has a bilobal architecture with a smaller N-terminal lobe and a larger C-terminal lobe (irgit2025structureanddynamics pages 3-4). The C-terminal region contains unique features that distinguish ABL2 from ABL1, including a calponin homology (CH)–type F-actin–binding domain, a second internal F-actin binding domain with an I/LWEQ motif, and a microtubule-binding domain (MTBD) (unknownauthors2022thecharacterizationof pages 17-24, colicelli2010abltyrosinekinases pages 7-8, greuber2013roleofabl pages 1-2).</w:t>
      </w:r>
    </w:p>
    <w:p>
      <w:pPr>
        <w:pStyle w:val="BodyText"/>
      </w:pPr>
      <w:r>
        <w:t xml:space="preserve">Key regulatory elements within the kinase domain control its catalytic activity:</w:t>
      </w:r>
      <w:r>
        <w:t xml:space="preserve"> </w:t>
      </w:r>
      <w:r>
        <w:t xml:space="preserve">-</w:t>
      </w:r>
      <w:r>
        <w:t xml:space="preserve"> </w:t>
      </w:r>
      <w:r>
        <w:rPr>
          <w:b/>
          <w:bCs/>
        </w:rPr>
        <w:t xml:space="preserve">Activation Loop (A-loop)</w:t>
      </w:r>
      <w:r>
        <w:t xml:space="preserve">: This flexible loop contains the highly conserved DFG motif. In the active state (DFG-in), the A-loop is open, allowing substrate access, with the aspartate residue facing the ATP-binding site. In the inactive state (DFG-out), the loop adopts a closed conformation that blocks the active site (irgit2025structureanddynamics pages 4-5). Crystal structures of ABL2 have also revealed an intermediate DFG conformation (salah2011crystalstructuresof pages 1-2).</w:t>
      </w:r>
      <w:r>
        <w:t xml:space="preserve"> </w:t>
      </w:r>
      <w:r>
        <w:t xml:space="preserve">-</w:t>
      </w:r>
      <w:r>
        <w:t xml:space="preserve"> </w:t>
      </w:r>
      <w:r>
        <w:rPr>
          <w:b/>
          <w:bCs/>
        </w:rPr>
        <w:t xml:space="preserve">αC helix</w:t>
      </w:r>
      <w:r>
        <w:t xml:space="preserve">: This helix in the N-lobe switches between an</w:t>
      </w:r>
      <w:r>
        <w:t xml:space="preserve"> </w:t>
      </w:r>
      <w:r>
        <w:t xml:space="preserve">“in”</w:t>
      </w:r>
      <w:r>
        <w:t xml:space="preserve"> </w:t>
      </w:r>
      <w:r>
        <w:t xml:space="preserve">conformation, which is required for catalysis, and an</w:t>
      </w:r>
      <w:r>
        <w:t xml:space="preserve"> </w:t>
      </w:r>
      <w:r>
        <w:t xml:space="preserve">“out”</w:t>
      </w:r>
      <w:r>
        <w:t xml:space="preserve"> </w:t>
      </w:r>
      <w:r>
        <w:t xml:space="preserve">conformation that stabilizes the inactive state (irgit2025structureanddynamics pages 4-5, dorey2001phosphorylationandstructurebased pages 1-2).</w:t>
      </w:r>
      <w:r>
        <w:t xml:space="preserve"> </w:t>
      </w:r>
      <w:r>
        <w:t xml:space="preserve">-</w:t>
      </w:r>
      <w:r>
        <w:t xml:space="preserve"> </w:t>
      </w:r>
      <w:r>
        <w:rPr>
          <w:b/>
          <w:bCs/>
        </w:rPr>
        <w:t xml:space="preserve">Hydrophobic Spine</w:t>
      </w:r>
      <w:r>
        <w:t xml:space="preserve">: This is a network of spatially conserved hydrophobic residues, including the phenylalanine from the DFG motif, that links the N- and C-lobes. The spine stabilizes the kinase’s active conformation, and its disruption contributes to autoinhibition in the inactive state (salah2011crystalstructuresof pages 1-2, irgit2025structureanddynamics pages 4-5).</w:t>
      </w:r>
    </w:p>
    <w:p>
      <w:pPr>
        <w:pStyle w:val="BodyText"/>
      </w:pPr>
      <w:r>
        <w:t xml:space="preserve">Alternative splicing of ABL2 generates isoforms, such as the 1b isoform, which contains an N-terminal glycine that is myristoylated and binds to a hydrophobic pocket in the kinase C-lobe (greuber2013roleofabl pages 1-2, wang2015theemergingrole pages 2-4, unknownauthors2022thecharacterizationof pages 24-29).</w:t>
      </w:r>
    </w:p>
    <w:bookmarkEnd w:id="13"/>
    <w:bookmarkStart w:id="14" w:name="regulation"/>
    <w:p>
      <w:pPr>
        <w:pStyle w:val="Heading2"/>
      </w:pPr>
      <w:r>
        <w:t xml:space="preserve">Regulation</w:t>
      </w:r>
    </w:p>
    <w:p>
      <w:pPr>
        <w:pStyle w:val="FirstParagraph"/>
      </w:pPr>
      <w:r>
        <w:t xml:space="preserve">ABL2 kinase activity is tightly controlled by an autoinhibitory mechanism (unknownauthors2022thecharacterizationof pages 17-24). In the inactive state, the SH3 and SH2 domains form a</w:t>
      </w:r>
      <w:r>
        <w:t xml:space="preserve"> </w:t>
      </w:r>
      <w:r>
        <w:t xml:space="preserve">“clamp,”</w:t>
      </w:r>
      <w:r>
        <w:t xml:space="preserve"> </w:t>
      </w:r>
      <w:r>
        <w:t xml:space="preserve">with the SH3 domain binding the SH2-kinase linker and the SH2 domain docking onto the kinase C-lobe (hantschel2012structureregulationsignaling pages 1-2, wang2015theemergingrole pages 2-4). In the 1b isoform, binding of the N-terminal myristoyl group to a pocket in the kinase domain further stabilizes this inhibited conformation (greuber2013roleofabl pages 19-22, unknownauthors2022thecharacterizationof pages 24-29). Key residues involved in autoinhibition include K7, W118, E157, Y158, P242, and P249 (colicelli2010abltyrosinekinases pages 4-5). Activation involves disruption of these interactions and a conformational switch of the SH2 domain (unknownauthors2022thecharacterizationof pages 24-29).</w:t>
      </w:r>
    </w:p>
    <w:p>
      <w:pPr>
        <w:pStyle w:val="BodyText"/>
      </w:pPr>
      <w:r>
        <w:t xml:space="preserve">Post-translational modifications are critical for ABL2 regulation:</w:t>
      </w:r>
      <w:r>
        <w:t xml:space="preserve"> </w:t>
      </w:r>
      <w:r>
        <w:t xml:space="preserve">-</w:t>
      </w:r>
      <w:r>
        <w:t xml:space="preserve"> </w:t>
      </w:r>
      <w:r>
        <w:rPr>
          <w:b/>
          <w:bCs/>
        </w:rPr>
        <w:t xml:space="preserve">Phosphorylation</w:t>
      </w:r>
      <w:r>
        <w:t xml:space="preserve">: Tyrosine phosphorylation modulates activity. Phosphorylation by SRC family kinases, PDGFR, or autophosphorylation at Y272 (SH2-kinase linker) and Y439 (activation loop) increases kinase activity by stabilizing the active conformation (colicelli2010abltyrosinekinases pages 4-5, wang2015theemergingrole pages 2-4, greuber2013roleofabl pages 19-22). Phosphorylation at Y261 promotes protein stabilization (colicelli2010abltyrosinekinases pages 4-5).</w:t>
      </w:r>
      <w:r>
        <w:t xml:space="preserve"> </w:t>
      </w:r>
      <w:r>
        <w:t xml:space="preserve">-</w:t>
      </w:r>
      <w:r>
        <w:t xml:space="preserve"> </w:t>
      </w:r>
      <w:r>
        <w:rPr>
          <w:b/>
          <w:bCs/>
        </w:rPr>
        <w:t xml:space="preserve">Dephosphorylation</w:t>
      </w:r>
      <w:r>
        <w:t xml:space="preserve">: Protein tyrosine phosphatases (PTPs), including PTPN1, PTPN6, PTPN11 (SHP-2), PTPN12, and PTPN18, act as negative regulators (colicelli2010abltyrosinekinases pages 7-8).</w:t>
      </w:r>
      <w:r>
        <w:t xml:space="preserve"> </w:t>
      </w:r>
      <w:r>
        <w:t xml:space="preserve">-</w:t>
      </w:r>
      <w:r>
        <w:t xml:space="preserve"> </w:t>
      </w:r>
      <w:r>
        <w:rPr>
          <w:b/>
          <w:bCs/>
        </w:rPr>
        <w:t xml:space="preserve">Ubiquitination</w:t>
      </w:r>
      <w:r>
        <w:t xml:space="preserve">: The E3 ligase CBL mediates ubiquitination of ABL2, which can lead to its degradation (colicelli2010abltyrosinekinases pages 4-5).</w:t>
      </w:r>
    </w:p>
    <w:p>
      <w:pPr>
        <w:pStyle w:val="BodyText"/>
      </w:pPr>
      <w:r>
        <w:t xml:space="preserve">Allosteric regulation occurs via binding to filamentous actin and the lipid phosphatidylinositol 4,5-bisphosphate (PIP2), both of which inhibit kinase activity (colicelli2010abltyrosinekinases pages 7-8, wang2015theemergingrole pages 2-4).</w:t>
      </w:r>
    </w:p>
    <w:bookmarkEnd w:id="14"/>
    <w:bookmarkStart w:id="15" w:name="function"/>
    <w:p>
      <w:pPr>
        <w:pStyle w:val="Heading2"/>
      </w:pPr>
      <w:r>
        <w:t xml:space="preserve">Function</w:t>
      </w:r>
    </w:p>
    <w:p>
      <w:pPr>
        <w:pStyle w:val="FirstParagraph"/>
      </w:pPr>
      <w:r>
        <w:t xml:space="preserve">ABL2 is a widely expressed cytoplasmic kinase that localizes to F-actin-rich structures such as focal adhesions, adherens junctions, invadopodia, and phagocytic cups (greuber2013roleofabl pages 1-2, wang2015theemergingrole pages 2-4, colicelli2010abltyrosinekinases pages 2-4). It functions to link extracellular stimuli to intracellular pathways controlling cell growth, survival, adhesion, and motility (greuber2013roleofabl pages 1-2). Upstream signals that activate ABL2 include those from receptor tyrosine kinases (RTKs), integrins, cadherins, chemokines, and oxidative stress (greuber2013roleofabl pages 26-27). Its primary role is in regulating cytoskeletal dynamics, which it achieves by binding and bundling F-actin and by phosphorylating cytoskeletal proteins like TUBA, TUBB, tau, and paxillin (colicelli2010abltyrosinekinases pages 1-2, colicelli2010abltyrosinekinases pages 7-8, colicelli2010abltyrosinekinases pages 8-10).</w:t>
      </w:r>
    </w:p>
    <w:p>
      <w:pPr>
        <w:pStyle w:val="BodyText"/>
      </w:pPr>
      <w:r>
        <w:t xml:space="preserve">ABL2 interacts with numerous signaling proteins, including SH3 domain-containing adaptors like CRK, CRKL, NCK1, ABI1, and ABI2 via its PxxP motifs (colicelli2010abltyrosinekinases pages 7-8, colicelli2010abltyrosinekinases pages 8-10). It also interacts with cortactin and WAS-family proteins, promoting actin reorganization through the ARP2/3 complex (colicelli2010abltyrosinekinases pages 8-10). ABL2 can form heterodimers with ABL1, which enhances catalytic activity (colicelli2010abltyrosinekinases pages 7-8).</w:t>
      </w:r>
    </w:p>
    <w:bookmarkEnd w:id="15"/>
    <w:bookmarkStart w:id="16" w:name="inhibitors"/>
    <w:p>
      <w:pPr>
        <w:pStyle w:val="Heading2"/>
      </w:pPr>
      <w:r>
        <w:t xml:space="preserve">Inhibitors</w:t>
      </w:r>
    </w:p>
    <w:p>
      <w:pPr>
        <w:pStyle w:val="FirstParagraph"/>
      </w:pPr>
      <w:r>
        <w:t xml:space="preserve">Small molecule inhibitors that target the ATP-binding site of ABL family kinases include imatinib and dasatinib (salah2011crystalstructuresof pages 1-2, yaronbarir2024theintrinsicsubstrate pages 5-5).</w:t>
      </w:r>
    </w:p>
    <w:bookmarkEnd w:id="16"/>
    <w:bookmarkStart w:id="17" w:name="other-comments"/>
    <w:p>
      <w:pPr>
        <w:pStyle w:val="Heading2"/>
      </w:pPr>
      <w:r>
        <w:t xml:space="preserve">Other Comments</w:t>
      </w:r>
    </w:p>
    <w:p>
      <w:pPr>
        <w:pStyle w:val="FirstParagraph"/>
      </w:pPr>
      <w:r>
        <w:t xml:space="preserve">Activation of ABL2 is found in various solid tumors, such as breast, colon, lung, and kidney carcinomas, and melanoma (greuber2013roleofabl pages 1-2). In hematological malignancies, ABL2 is activated by chromosomal translocation in acute myeloid leukemia (AML) (colicelli2010abltyrosinekinases pages 12-13).</w:t>
      </w:r>
    </w:p>
    <w:p>
      <w:pPr>
        <w:pStyle w:val="BodyText"/>
      </w:pPr>
      <w:r>
        <w:t xml:space="preserve">References</w:t>
      </w:r>
    </w:p>
    <w:p>
      <w:pPr>
        <w:numPr>
          <w:ilvl w:val="0"/>
          <w:numId w:val="1001"/>
        </w:numPr>
      </w:pPr>
      <w:r>
        <w:t xml:space="preserve">(colicelli2010abltyrosinekinases pages 1-2): John Colicelli. Abl tyrosine kinases: evolution of function, regulation, and specificity. Science Signaling, 3:re6-re6, Sep 2010. URL: https://doi.org/10.1126/scisignal.3139re6, doi:10.1126/scisignal.3139re6. This article has 451 citations and is from a domain leading peer-reviewed journal.</w:t>
      </w:r>
    </w:p>
    <w:p>
      <w:pPr>
        <w:numPr>
          <w:ilvl w:val="0"/>
          <w:numId w:val="1001"/>
        </w:numPr>
      </w:pPr>
      <w:r>
        <w:t xml:space="preserve">(colicelli2010abltyrosinekinases pages 10-12): John Colicelli. Abl tyrosine kinases: evolution of function, regulation, and specificity. Science Signaling, 3:re6-re6, Sep 2010. URL: https://doi.org/10.1126/scisignal.3139re6, doi:10.1126/scisignal.3139re6. This article has 451 citations and is from a domain leading peer-reviewed journal.</w:t>
      </w:r>
    </w:p>
    <w:p>
      <w:pPr>
        <w:numPr>
          <w:ilvl w:val="0"/>
          <w:numId w:val="1001"/>
        </w:numPr>
      </w:pPr>
      <w:r>
        <w:t xml:space="preserve">(colicelli2010abltyrosinekinases pages 2-4): John Colicelli. Abl tyrosine kinases: evolution of function, regulation, and specificity. Science Signaling, 3:re6-re6, Sep 2010. URL: https://doi.org/10.1126/scisignal.3139re6, doi:10.1126/scisignal.3139re6. This article has 451 citations and is from a domain leading peer-reviewed journal.</w:t>
      </w:r>
    </w:p>
    <w:p>
      <w:pPr>
        <w:numPr>
          <w:ilvl w:val="0"/>
          <w:numId w:val="1001"/>
        </w:numPr>
      </w:pPr>
      <w:r>
        <w:t xml:space="preserve">(colicelli2010abltyrosinekinases pages 4-5): John Colicelli. Abl tyrosine kinases: evolution of function, regulation, and specificity. Science Signaling, 3:re6-re6, Sep 2010. URL: https://doi.org/10.1126/scisignal.3139re6, doi:10.1126/scisignal.3139re6. This article has 451 citations and is from a domain leading peer-reviewed journal.</w:t>
      </w:r>
    </w:p>
    <w:p>
      <w:pPr>
        <w:numPr>
          <w:ilvl w:val="0"/>
          <w:numId w:val="1001"/>
        </w:numPr>
      </w:pPr>
      <w:r>
        <w:t xml:space="preserve">(colicelli2010abltyrosinekinases pages 7-8): John Colicelli. Abl tyrosine kinases: evolution of function, regulation, and specificity. Science Signaling, 3:re6-re6, Sep 2010. URL: https://doi.org/10.1126/scisignal.3139re6, doi:10.1126/scisignal.3139re6. This article has 451 citations and is from a domain leading peer-reviewed journal.</w:t>
      </w:r>
    </w:p>
    <w:p>
      <w:pPr>
        <w:numPr>
          <w:ilvl w:val="0"/>
          <w:numId w:val="1001"/>
        </w:numPr>
      </w:pPr>
      <w:r>
        <w:t xml:space="preserve">(colicelli2010abltyrosinekinases pages 8-10): John Colicelli. Abl tyrosine kinases: evolution of function, regulation, and specificity. Science Signaling, 3:re6-re6, Sep 2010. URL: https://doi.org/10.1126/scisignal.3139re6, doi:10.1126/scisignal.3139re6. This article has 451 citations and is from a domain leading peer-reviewed journal.</w:t>
      </w:r>
    </w:p>
    <w:p>
      <w:pPr>
        <w:numPr>
          <w:ilvl w:val="0"/>
          <w:numId w:val="1001"/>
        </w:numPr>
      </w:pPr>
      <w:r>
        <w:t xml:space="preserve">(greuber2013roleofabl pages 1-2): Emileigh K. Greuber, Pameeka Smith-Pearson, Jun Wang, and Ann Marie Pendergast. Role of abl family kinases in cancer: from leukaemia to solid tumours. Nature Reviews Cancer, 13:559-571, Jul 2013. URL: https://doi.org/10.1038/nrc3563, doi:10.1038/nrc3563. This article has 585 citations and is from a domain leading peer-reviewed journal.</w:t>
      </w:r>
    </w:p>
    <w:p>
      <w:pPr>
        <w:numPr>
          <w:ilvl w:val="0"/>
          <w:numId w:val="1001"/>
        </w:numPr>
      </w:pPr>
      <w:r>
        <w:t xml:space="preserve">(unknownauthors2022thecharacterizationof pages 17-24): The Characterization of ABL Tyrosine Kinase-Regulated Transcriptional Networks</w:t>
      </w:r>
    </w:p>
    <w:p>
      <w:pPr>
        <w:numPr>
          <w:ilvl w:val="0"/>
          <w:numId w:val="1001"/>
        </w:numPr>
      </w:pPr>
      <w:r>
        <w:t xml:space="preserve">(unknownauthors2022thecharacterizationof pages 24-29): The Characterization of ABL Tyrosine Kinase-Regulated Transcriptional Networks</w:t>
      </w:r>
    </w:p>
    <w:p>
      <w:pPr>
        <w:numPr>
          <w:ilvl w:val="0"/>
          <w:numId w:val="1001"/>
        </w:numPr>
      </w:pPr>
      <w:r>
        <w:t xml:space="preserve">(wang2015theemergingrole pages 2-4): Jun Wang and Ann Marie Pendergast. The emerging role of abl kinases in solid tumors. Trends in Cancer, 1:110-123, Oct 2015. URL: https://doi.org/10.1016/j.trecan.2015.07.004, doi:10.1016/j.trecan.2015.07.004. This article has 98 citations and is from a peer-reviewed journal.</w:t>
      </w:r>
    </w:p>
    <w:p>
      <w:pPr>
        <w:numPr>
          <w:ilvl w:val="0"/>
          <w:numId w:val="1001"/>
        </w:numPr>
      </w:pPr>
      <w:r>
        <w:t xml:space="preserve">(colicelli2010abltyrosinekinases pages 27-36): John Colicelli. Abl tyrosine kinases: evolution of function, regulation, and specificity. Science Signaling, 3:re6-re6, Sep 2010. URL: https://doi.org/10.1126/scisignal.3139re6, doi:10.1126/scisignal.3139re6. This article has 451 citations and is from a domain leading peer-reviewed journal.</w:t>
      </w:r>
    </w:p>
    <w:p>
      <w:pPr>
        <w:numPr>
          <w:ilvl w:val="0"/>
          <w:numId w:val="1001"/>
        </w:numPr>
      </w:pPr>
      <w:r>
        <w:t xml:space="preserve">(colicelli2010abltyrosinekinases pages 5-7): John Colicelli. Abl tyrosine kinases: evolution of function, regulation, and specificity. Science Signaling, 3:re6-re6, Sep 2010. URL: https://doi.org/10.1126/scisignal.3139re6, doi:10.1126/scisignal.3139re6. This article has 451 citations and is from a domain leading peer-reviewed journal.</w:t>
      </w:r>
    </w:p>
    <w:p>
      <w:pPr>
        <w:numPr>
          <w:ilvl w:val="0"/>
          <w:numId w:val="1001"/>
        </w:numPr>
      </w:pPr>
      <w:r>
        <w:t xml:space="preserve">(greuber2013roleofabl pages 26-27): Emileigh K. Greuber, Pameeka Smith-Pearson, Jun Wang, and Ann Marie Pendergast. Role of abl family kinases in cancer: from leukaemia to solid tumours. Nature Reviews Cancer, 13:559-571, Jul 2013. URL: https://doi.org/10.1038/nrc3563, doi:10.1038/nrc3563. This article has 585 citations and is from a domain leading peer-reviewed journal.</w:t>
      </w:r>
    </w:p>
    <w:p>
      <w:pPr>
        <w:numPr>
          <w:ilvl w:val="0"/>
          <w:numId w:val="1001"/>
        </w:numPr>
      </w:pPr>
      <w:r>
        <w:t xml:space="preserve">(hantschel2012structureregulationsignaling pages 1-2): O. Hantschel. Structure, regulation, signaling, and targeting of abl kinases in cancer. Genes &amp; Cancer, 3:436-446, May 2012. URL: https://doi.org/10.1177/1947601912458584, doi:10.1177/1947601912458584. This article has 197 citations.</w:t>
      </w:r>
    </w:p>
    <w:p>
      <w:pPr>
        <w:numPr>
          <w:ilvl w:val="0"/>
          <w:numId w:val="1001"/>
        </w:numPr>
      </w:pPr>
      <w:r>
        <w:t xml:space="preserve">(irgit2025structureanddynamics pages 3-4): Ayca Irgit, Reyhan Kamıs, Belgin Sever, Amaç Fatih Tuyun, Masami Otsuka, Mikako Fujita, Hasan Demirci, and Halilibrahim Ciftci. Structure and dynamics of the abl1 tyrosine kinase and its important role in chronic myeloid leukemia. Archiv der Pharmazie, May 2025. URL: https://doi.org/10.1002/ardp.70005, doi:10.1002/ardp.70005. This article has 1 citations and is from a peer-reviewed journal.</w:t>
      </w:r>
    </w:p>
    <w:p>
      <w:pPr>
        <w:numPr>
          <w:ilvl w:val="0"/>
          <w:numId w:val="1001"/>
        </w:numPr>
      </w:pPr>
      <w:r>
        <w:t xml:space="preserve">(irgit2025structureanddynamics pages 4-5): Ayca Irgit, Reyhan Kamıs, Belgin Sever, Amaç Fatih Tuyun, Masami Otsuka, Mikako Fujita, Hasan Demirci, and Halilibrahim Ciftci. Structure and dynamics of the abl1 tyrosine kinase and its important role in chronic myeloid leukemia. Archiv der Pharmazie, May 2025. URL: https://doi.org/10.1002/ardp.70005, doi:10.1002/ardp.70005. This article has 1 citations and is from a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(salah2011crystalstructuresof pages 1-2): Eidarus Salah, Emilie Ugochukwu, Alastair J. Barr, Frank von Delft, Stefan Knapp, and Jonathan M. Elkins. Crystal structures of abl-related gene (abl2) in complex with imatinib, tozasertib (vx-680), and a type i inhibitor of the triazole carbothioamide class. Journal of Medicinal Chemistry, 54:2359-2367, Mar 2011. URL: https://doi.org/10.1021/jm101506n, doi:10.1021/jm101506n. This article has 63 citations and is from a highest quality peer-reviewed journal.</w:t>
      </w:r>
    </w:p>
    <w:p>
      <w:pPr>
        <w:numPr>
          <w:ilvl w:val="0"/>
          <w:numId w:val="1001"/>
        </w:numPr>
      </w:pPr>
      <w:r>
        <w:t xml:space="preserve">(yaronbarir2024theintrinsicsubstrate pages 3-4):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5-5):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(colicelli2010abltyrosinekinases pages 12-13): John Colicelli. Abl tyrosine kinases: evolution of function, regulation, and specificity. Science Signaling, 3:re6-re6, Sep 2010. URL: https://doi.org/10.1126/scisignal.3139re6, doi:10.1126/scisignal.3139re6. This article has 451 citations and is from a domain leading peer-reviewed journal.</w:t>
      </w:r>
    </w:p>
    <w:p>
      <w:pPr>
        <w:numPr>
          <w:ilvl w:val="0"/>
          <w:numId w:val="1001"/>
        </w:numPr>
      </w:pPr>
      <w:r>
        <w:t xml:space="preserve">(dorey2001phosphorylationandstructurebased pages 1-2): Karel Dorey, John R Engen, Jana Kretzschmar, Matthias Wilm, Gitte Neubauer, Thomas Schindler, and Giulio Superti-Furga. Phosphorylation and structure-based functional studies reveal a positive and a negative role for the activation loop of the c-abl tyrosine kinase. Oncogene, 20:8075-8084, Dec 2001. URL: https://doi.org/10.1038/sj.onc.1205017, doi:10.1038/sj.onc.1205017. This article has 140 citations and is from a domain leading peer-reviewed journal.</w:t>
      </w:r>
    </w:p>
    <w:p>
      <w:pPr>
        <w:numPr>
          <w:ilvl w:val="0"/>
          <w:numId w:val="1001"/>
        </w:numPr>
      </w:pPr>
      <w:r>
        <w:t xml:space="preserve">(greuber2013roleofabl pages 19-22): Emileigh K. Greuber, Pameeka Smith-Pearson, Jun Wang, and Ann Marie Pendergast. Role of abl family kinases in cancer: from leukaemia to solid tumours. Nature Reviews Cancer, 13:559-571, Jul 2013. URL: https://doi.org/10.1038/nrc3563, doi:10.1038/nrc3563. This article has 585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2025-07-02T20:27:57Z</dcterms:created>
  <dcterms:modified xsi:type="dcterms:W3CDTF">2025-07-02T20:27:57Z</dcterms:modified>
</cp:coreProperties>
</file>

<file path=docProps/custom.xml><?xml version="1.0" encoding="utf-8"?>
<Properties xmlns="http://schemas.openxmlformats.org/officeDocument/2006/custom-properties" xmlns:vt="http://schemas.openxmlformats.org/officeDocument/2006/docPropsVTypes"/>
</file>