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Homo sapiens (MAPKAPK2), Mus musculus (Mapkapk2), Rattus norvegicus, Danio rerio, Drosophila melanogaster (~60 % identity) and Caenorhabditis elegans (~60 % identity) (cargnello2011activationandfunction pages 21-23, roux2004erkandp38 pages 16-17).</w:t>
      </w:r>
      <w:r>
        <w:br/>
      </w:r>
      <w:r>
        <w:t xml:space="preserve">• Yeast analogs: Rck1/Rck2 in Saccharomyces cerevisiae and Srk1/Mkp2 in Schizosaccharomyces pombe act downstream of p38-like modules but are not direct orthologs (cargnello2011activationandfunction pages 21-23).</w:t>
      </w:r>
      <w:r>
        <w:br/>
      </w:r>
      <w:r>
        <w:t xml:space="preserve">• Kinome position: MAPKAPK2 groups with MAPKAPK3 (75 % identity) in the MAPK-activated protein kinase sub-family on the CaMK-like branch of the human kinome (roux2004erkandp38 pages 5-7, cargnello2011activationandfunction pages 21-23).</w:t>
      </w:r>
    </w:p>
    <w:bookmarkEnd w:id="9"/>
    <w:bookmarkStart w:id="10" w:name="reaction-catalyzed"/>
    <w:p>
      <w:pPr>
        <w:pStyle w:val="Heading2"/>
      </w:pPr>
      <w:r>
        <w:t xml:space="preserve">Reaction Catalyzed</w:t>
      </w:r>
    </w:p>
    <w:p>
      <w:pPr>
        <w:pStyle w:val="FirstParagraph"/>
      </w:pPr>
      <w:r>
        <w:t xml:space="preserve">ATP + [protein]-Ser/Thr → ADP + [protein]-O-phospho-Ser/Thr (fiore2016targetingmitogenactivatedprotein pages 10-12).</w:t>
      </w:r>
    </w:p>
    <w:bookmarkEnd w:id="10"/>
    <w:bookmarkStart w:id="11" w:name="cofactor-requirements"/>
    <w:p>
      <w:pPr>
        <w:pStyle w:val="Heading2"/>
      </w:pPr>
      <w:r>
        <w:t xml:space="preserve">Cofactor Requirements</w:t>
      </w:r>
    </w:p>
    <w:p>
      <w:pPr>
        <w:pStyle w:val="FirstParagraph"/>
      </w:pPr>
      <w:r>
        <w:t xml:space="preserve">• Requires Mg²⁺; standard assays use 25 mM MgCl₂ (powell2003proteomicidentificationof pages 2-2).</w:t>
      </w:r>
      <w:r>
        <w:br/>
      </w:r>
      <w:r>
        <w:t xml:space="preserve">• Mn²⁺ can substitute for Mg²⁺ with retained activity in crystallographic studies (fiore2016targetingmitogenactivatedprotein pages 70-73).</w:t>
      </w:r>
    </w:p>
    <w:bookmarkEnd w:id="11"/>
    <w:bookmarkStart w:id="12" w:name="substrate-specificity"/>
    <w:p>
      <w:pPr>
        <w:pStyle w:val="Heading2"/>
      </w:pPr>
      <w:r>
        <w:t xml:space="preserve">Substrate Specificity</w:t>
      </w:r>
    </w:p>
    <w:p>
      <w:pPr>
        <w:pStyle w:val="FirstParagraph"/>
      </w:pPr>
      <w:r>
        <w:t xml:space="preserve">• Consensus motif: Φ-X-Arg-X₂-Ser/Thr (Φ = large hydrophobic residue) (johnson2023anatlasof pages 4-5).</w:t>
      </w:r>
      <w:r>
        <w:br/>
      </w:r>
      <w:r>
        <w:t xml:space="preserve">• Experimentally confirmed cellular substrates include HSP27/HSPB1, TTP/ZFP36, LIMK1, LSP1, CDC25B/C, ALOX5 and ELAVL1 (schindler2007p38pathwaykinases pages 5-6, fiore2016targetingmitogenactivatedprotein pages 51-54).</w:t>
      </w:r>
    </w:p>
    <w:bookmarkEnd w:id="12"/>
    <w:bookmarkStart w:id="13" w:name="structure"/>
    <w:p>
      <w:pPr>
        <w:pStyle w:val="Heading2"/>
      </w:pPr>
      <w:r>
        <w:t xml:space="preserve">Structure</w:t>
      </w:r>
    </w:p>
    <w:p>
      <w:pPr>
        <w:pStyle w:val="FirstParagraph"/>
      </w:pPr>
      <w:r>
        <w:t xml:space="preserve">• Domain map (isoform 1, 400 aa)</w:t>
      </w:r>
      <w:r>
        <w:br/>
      </w:r>
      <w:r>
        <w:t xml:space="preserve">– 10–40: Proline-rich SH3-binding segment (fiore2016targetingmitogenactivatedprotein pages 7-10).</w:t>
      </w:r>
      <w:r>
        <w:br/>
      </w:r>
      <w:r>
        <w:t xml:space="preserve">– 64–325: Bilobal kinase domain; gatekeeper Met138 shapes a narrow ATP pocket (fiore2016targetingmitogenactivatedprotein pages 10-12).</w:t>
      </w:r>
      <w:r>
        <w:br/>
      </w:r>
      <w:r>
        <w:t xml:space="preserve">– 328–364: Autoinhibitory α-helix masking the catalytic cleft (fiore2016targetingmitogenactivatedprotein pages 7-10).</w:t>
      </w:r>
      <w:r>
        <w:br/>
      </w:r>
      <w:r>
        <w:t xml:space="preserve">– 356–365: Nuclear export signal (singh2017biologicalfunctionsand pages 1-6).</w:t>
      </w:r>
      <w:r>
        <w:br/>
      </w:r>
      <w:r>
        <w:t xml:space="preserve">– 366–390: High-affinity p38 docking site (fiore2016targetingmitogenactivatedprotein pages 10-12).</w:t>
      </w:r>
      <w:r>
        <w:br/>
      </w:r>
      <w:r>
        <w:t xml:space="preserve">– 371–374 &amp; 385–389: Bipartite NLS (singh2017biologicalfunctionsand pages 1-6).</w:t>
      </w:r>
      <w:r>
        <w:br/>
      </w:r>
      <w:r>
        <w:t xml:space="preserve">• Representative structures: apo (1KWP), ADP/staurosporine-bound (1NY3, 1NXK), active T222E mutant (3KA0), p38α-MK2 heterodimers (2OZA, 2ONL) (fiore2016targetingmitogenactivatedprotein pages 10-12).</w:t>
      </w:r>
      <w:r>
        <w:br/>
      </w:r>
      <w:r>
        <w:t xml:space="preserve">• Activation entails hydrophobic-spine completion and αC-helix rotation; phosphorylation displaces the autoinhibitory helix, exposing the active site and NLS (fiore2016targetingmitogenactivatedprotein pages 54-57).</w:t>
      </w:r>
    </w:p>
    <w:bookmarkEnd w:id="13"/>
    <w:bookmarkStart w:id="14" w:name="regulation"/>
    <w:p>
      <w:pPr>
        <w:pStyle w:val="Heading2"/>
      </w:pPr>
      <w:r>
        <w:t xml:space="preserve">Regulation</w:t>
      </w:r>
    </w:p>
    <w:p>
      <w:pPr>
        <w:pStyle w:val="FirstParagraph"/>
      </w:pPr>
      <w:r>
        <w:t xml:space="preserve">• p38α/MAPK14 phosphorylates Thr222, Ser272 (activation loop) and Thr334 (C-terminus) to activate MK2 and unmask the NES (singh2017biologicalfunctionsand pages 1-6, roux2004erkandp38 pages 17-18).</w:t>
      </w:r>
      <w:r>
        <w:br/>
      </w:r>
      <w:r>
        <w:t xml:space="preserve">• Autophosphorylation occurs at Ser9, Thr25 and Ser328 (fiore2016targetingmitogenactivatedprotein pages 7-10).</w:t>
      </w:r>
      <w:r>
        <w:br/>
      </w:r>
      <w:r>
        <w:t xml:space="preserve">• SUMOylation at Lys353 by PIAS1 suppresses activity; K353R mutation abolishes this inhibition (fiore2016targetingmitogenactivatedprotein pages 10-12).</w:t>
      </w:r>
      <w:r>
        <w:br/>
      </w:r>
      <w:r>
        <w:t xml:space="preserve">• Tight p38 docking via residues 370–400 (K_d ≈ 20 nM) is obligatory for efficient phosphorylation (fiore2016targetingmitogenactivatedprotein pages 10-12).</w:t>
      </w:r>
      <w:r>
        <w:br/>
      </w:r>
      <w:r>
        <w:t xml:space="preserve">• Loss-of-function mutants Lys93→Arg or Asp207→Ala abolish catalysis; phosphomimetics Thr222E/Thr334E render the kinase constitutively active (fiore2016targetingmitogenactivatedprotein pages 10-12).</w:t>
      </w:r>
      <w:r>
        <w:br/>
      </w:r>
      <w:r>
        <w:t xml:space="preserve">• Ubiquitination: none reported in the current literature.</w:t>
      </w:r>
    </w:p>
    <w:bookmarkEnd w:id="14"/>
    <w:bookmarkStart w:id="15" w:name="function"/>
    <w:p>
      <w:pPr>
        <w:pStyle w:val="Heading2"/>
      </w:pPr>
      <w:r>
        <w:t xml:space="preserve">Function</w:t>
      </w:r>
    </w:p>
    <w:p>
      <w:pPr>
        <w:pStyle w:val="FirstParagraph"/>
      </w:pPr>
      <w:r>
        <w:t xml:space="preserve">• Highly expressed in heart, skeletal muscle and kidney; detectable in immune and stromal cells (roux2004erkandp38 pages 16-17).</w:t>
      </w:r>
      <w:r>
        <w:br/>
      </w:r>
      <w:r>
        <w:t xml:space="preserve">• Upstream cascade: stress → MKK3/6 → p38α → MK2 (singh2017biologicalfunctionsand pages 1-6).</w:t>
      </w:r>
      <w:r>
        <w:br/>
      </w:r>
      <w:r>
        <w:t xml:space="preserve">• Major roles:</w:t>
      </w:r>
      <w:r>
        <w:br/>
      </w:r>
      <w:r>
        <w:t xml:space="preserve">– Actin remodeling and cell migration via HSP27 phosphorylation (schindler2007p38pathwaykinases pages 5-6).</w:t>
      </w:r>
      <w:r>
        <w:br/>
      </w:r>
      <w:r>
        <w:t xml:space="preserve">– Post-transcriptional control of inflammatory cytokines by phosphorylating TTP/ZFP36 and ELAVL1 (soni2019mapkapk2themaster pages 3-4).</w:t>
      </w:r>
      <w:r>
        <w:br/>
      </w:r>
      <w:r>
        <w:t xml:space="preserve">– Cell-cycle and DNA-damage checkpoints through CDC25B/C and LIMK1 regulation (fiore2016targetingmitogenactivatedprotein pages 51-54).</w:t>
      </w:r>
      <w:r>
        <w:br/>
      </w:r>
      <w:r>
        <w:t xml:space="preserve">– Identified as a driver kinase in colitis models (strasser2019substratebasedkinaseactivity pages 13-14).</w:t>
      </w:r>
    </w:p>
    <w:bookmarkEnd w:id="15"/>
    <w:bookmarkStart w:id="16" w:name="inhibitors"/>
    <w:p>
      <w:pPr>
        <w:pStyle w:val="Heading2"/>
      </w:pPr>
      <w:r>
        <w:t xml:space="preserve">Inhibitors</w:t>
      </w:r>
    </w:p>
    <w:p>
      <w:pPr>
        <w:pStyle w:val="FirstParagraph"/>
      </w:pPr>
      <w:r>
        <w:t xml:space="preserve">• ATP-competitive type I</w:t>
      </w:r>
      <w:r>
        <w:br/>
      </w:r>
      <w:r>
        <w:t xml:space="preserve">– Staurosporine (reference ligand; co-crystal 1NY3) (fiore2016targetingmitogenactivatedprotein pages 10-12).</w:t>
      </w:r>
      <w:r>
        <w:br/>
      </w:r>
      <w:r>
        <w:t xml:space="preserve">– PF-3644022: benzothiophene scaffold; IC₅₀ ≈ 5 nM enzymatic, ~150 nM cellular; suppresses TNF-α release in vivo (fiore2016targetingmitogenactivatedprotein pages 18-21).</w:t>
      </w:r>
      <w:r>
        <w:br/>
      </w:r>
      <w:r>
        <w:t xml:space="preserve">• Indirect inhibition: p38α blocker SB203580 prevents MK2 activation (schindler2007p38pathwaykinases pages 5-6).</w:t>
      </w:r>
    </w:p>
    <w:bookmarkEnd w:id="16"/>
    <w:bookmarkStart w:id="17" w:name="other-comments"/>
    <w:p>
      <w:pPr>
        <w:pStyle w:val="Heading2"/>
      </w:pPr>
      <w:r>
        <w:t xml:space="preserve">Other Comments</w:t>
      </w:r>
    </w:p>
    <w:p>
      <w:pPr>
        <w:pStyle w:val="FirstParagraph"/>
      </w:pPr>
      <w:r>
        <w:t xml:space="preserve">• Mapkapk2-knockout mice show impaired TNF-α/IL-6 production and resistance to endotoxic shock (schindler2007p38pathwaykinases pages 5-6).</w:t>
      </w:r>
      <w:r>
        <w:br/>
      </w:r>
      <w:r>
        <w:t xml:space="preserve">• Persistent MK2 signaling stabilizes oncogenic transcripts and promotes tumor progression (soni2019mapkapk2themaster pages 3-4).</w:t>
      </w:r>
      <w:r>
        <w:br/>
      </w:r>
      <w:r>
        <w:t xml:space="preserve">• Hyperactivation of the p38/MK2 axis contributes to inflammatory bowel disease pathology (strasser2019substratebasedkinaseactivity pages 13-14).</w:t>
      </w:r>
    </w:p>
    <w:p>
      <w:pPr>
        <w:pStyle w:val="BodyText"/>
      </w:pPr>
      <w:r>
        <w:t xml:space="preserve">References</w:t>
      </w:r>
    </w:p>
    <w:p>
      <w:pPr>
        <w:numPr>
          <w:ilvl w:val="0"/>
          <w:numId w:val="1001"/>
        </w:numPr>
      </w:pPr>
      <w:r>
        <w:t xml:space="preserve">(cargnello2011activationandfunction pages 21-23):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(fiore2016targetingmitogenactivatedprotein pages 10-12):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86 citations and is from a highest quality peer-reviewed journal.</w:t>
      </w:r>
    </w:p>
    <w:p>
      <w:pPr>
        <w:numPr>
          <w:ilvl w:val="0"/>
          <w:numId w:val="1001"/>
        </w:numPr>
      </w:pPr>
      <w:r>
        <w:t xml:space="preserve">(fiore2016targetingmitogenactivatedprotein pages 54-57):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86 citations and is from a highest quality peer-reviewed journal.</w:t>
      </w:r>
    </w:p>
    <w:p>
      <w:pPr>
        <w:numPr>
          <w:ilvl w:val="0"/>
          <w:numId w:val="1001"/>
        </w:numPr>
      </w:pPr>
      <w:r>
        <w:t xml:space="preserve">(fiore2016targetingmitogenactivatedprotein pages 7-10):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86 citations and is from a highest quality peer-reviewed journal.</w:t>
      </w:r>
    </w:p>
    <w:p>
      <w:pPr>
        <w:numPr>
          <w:ilvl w:val="0"/>
          <w:numId w:val="1001"/>
        </w:numPr>
      </w:pPr>
      <w:r>
        <w:t xml:space="preserve">(roux2004erkandp38 pages 17-18):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3367 citations and is from a domain leading peer-reviewed journal.</w:t>
      </w:r>
    </w:p>
    <w:p>
      <w:pPr>
        <w:numPr>
          <w:ilvl w:val="0"/>
          <w:numId w:val="1001"/>
        </w:numPr>
      </w:pPr>
      <w:r>
        <w:t xml:space="preserve">(roux2004erkandp38 pages 5-7):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3367 citations and is from a domain leading peer-reviewed journal.</w:t>
      </w:r>
    </w:p>
    <w:p>
      <w:pPr>
        <w:numPr>
          <w:ilvl w:val="0"/>
          <w:numId w:val="1001"/>
        </w:numPr>
      </w:pPr>
      <w:r>
        <w:t xml:space="preserve">(schindler2007p38pathwaykinases pages 5-6): J.F. Schindler, J.B. Monahan, and W.G. Smith. P38 pathway kinases as anti-inflammatory drug targets. Journal of Dental Research, 86:800-811, Sep 2007. URL: https://doi.org/10.1177/154405910708600902, doi:10.1177/154405910708600902. This article has 333 citations and is from a highest quality peer-reviewed journal.</w:t>
      </w:r>
    </w:p>
    <w:p>
      <w:pPr>
        <w:numPr>
          <w:ilvl w:val="0"/>
          <w:numId w:val="1001"/>
        </w:numPr>
      </w:pPr>
      <w:r>
        <w:t xml:space="preserve">(singh2017biologicalfunctionsand pages 1-6): R. Singh, A. Najmi, and S. Dastidar. Biological functions and role of mitogen-activated protein kinase activated protein kinase 2 (mk2) in inflammatory diseases. Pharmacological Reports, 69:746-756, Jul 2017. URL: https://doi.org/10.1016/j.pharep.2017.03.023, doi:10.1016/j.pharep.2017.03.023. This article has 56 citations and is from a peer-reviewed journal.</w:t>
      </w:r>
    </w:p>
    <w:p>
      <w:pPr>
        <w:numPr>
          <w:ilvl w:val="0"/>
          <w:numId w:val="1001"/>
        </w:numPr>
      </w:pPr>
      <w:r>
        <w:t xml:space="preserve">(soni2019mapkapk2themaster pages 3-4): Sourabh Soni, Prince Anand, and Yogendra S. Padwad. Mapkapk2: the master regulator of rna-binding proteins modulates transcript stability and tumor progression. Journal of Experimental &amp; Clinical Cancer Research, Mar 2019. URL: https://doi.org/10.1186/s13046-019-1115-1, doi:10.1186/s13046-019-1115-1. This article has 150 citations.</w:t>
      </w:r>
    </w:p>
    <w:p>
      <w:pPr>
        <w:numPr>
          <w:ilvl w:val="0"/>
          <w:numId w:val="1001"/>
        </w:numPr>
      </w:pPr>
      <w:r>
        <w:t xml:space="preserve">(strasser2019substratebasedkinaseactivity pages 13-14): Samantha Dale Strasser, Phaedra C. Ghazi, A. Starchenko, M. Boukhali, Amanda Edwards, L. Suarez-Lopez, J. Lyons, P. Changelian, J. Monahan, J. Jacobsen, Douglas K. Brubaker, Brian A. Joughin, M. Yaffe, W. Haas, D. Lauffenburger, and K. Haigis. Substrate-based kinase activity inference identifies mk2 as driver of colitis. Integrative biology : quantitative biosciences from nano to macro, Jul 2019. URL: https://doi.org/10.1093/intbio/zyz025, doi:10.1093/intbio/zyz025. This article has 23 citations.</w:t>
      </w:r>
    </w:p>
    <w:p>
      <w:pPr>
        <w:numPr>
          <w:ilvl w:val="0"/>
          <w:numId w:val="1001"/>
        </w:numPr>
      </w:pPr>
      <w:r>
        <w:t xml:space="preserve">(fiore2016targetingmitogenactivatedprotein pages 51-54):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86 citations and is from a highest quality peer-reviewed journal.</w:t>
      </w:r>
    </w:p>
    <w:p>
      <w:pPr>
        <w:numPr>
          <w:ilvl w:val="0"/>
          <w:numId w:val="1001"/>
        </w:numPr>
      </w:pPr>
      <w:r>
        <w:t xml:space="preserve">(fiore2016targetingmitogenactivatedprotein pages 70-73):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(powell2003proteomicidentificationof pages 2-2): David W. Powell, Madhavi J. Rane, Brian A. Joughin, Ralitsa Kalmukova, Jeong-Ho Hong, Bruce Tidor, William L. Dean, William M. Pierce, Jon B. Klein, Michael B. Yaffe, and Kenneth R. McLeish. Proteomic identification of 14-3-3ζ as a mitogen-activated protein kinase-activated protein kinase 2 substrate: role in dimer formation and ligand binding. Molecular and Cellular Biology, 23:5376-5387, Aug 2003. URL: https://doi.org/10.1128/mcb.23.15.5376-5387.2003, doi:10.1128/mcb.23.15.5376-5387.2003. This article has 172 citations and is from a domain leading peer-reviewed journal.</w:t>
      </w:r>
    </w:p>
    <w:p>
      <w:pPr>
        <w:numPr>
          <w:ilvl w:val="0"/>
          <w:numId w:val="1001"/>
        </w:numPr>
      </w:pPr>
      <w:r>
        <w:t xml:space="preserve">(roux2004erkandp38 pages 16-17):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3367 citations and is from a domain leading peer-reviewed journal.</w:t>
      </w:r>
    </w:p>
    <w:p>
      <w:pPr>
        <w:numPr>
          <w:ilvl w:val="0"/>
          <w:numId w:val="1001"/>
        </w:numPr>
      </w:pPr>
      <w:r>
        <w:t xml:space="preserve">(fiore2016targetingmitogenactivatedprotein pages 18-21):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2025-07-02T17:27:23Z</dcterms:created>
  <dcterms:modified xsi:type="dcterms:W3CDTF">2025-07-02T17:27:23Z</dcterms:modified>
</cp:coreProperties>
</file>

<file path=docProps/custom.xml><?xml version="1.0" encoding="utf-8"?>
<Properties xmlns="http://schemas.openxmlformats.org/officeDocument/2006/custom-properties" xmlns:vt="http://schemas.openxmlformats.org/officeDocument/2006/docPropsVTypes"/>
</file>