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CMGC kinome, CLK/LAMMER subfamily, defined by the invariant EHLAMMERILG motif (moyano2020cdclikekinases(clks) pages 1-3).</w:t>
      </w:r>
      <w:r>
        <w:br/>
      </w:r>
      <w:r>
        <w:t xml:space="preserve">• One of four human paralogs (CLK1-4); CLK3 arose from duplication of a CLK2-like gene in the ancestor of lobe-finned fishes, making it vertebrate-restricted (ogle2024comparisonofthe pages 4-7).</w:t>
      </w:r>
      <w:r>
        <w:br/>
      </w:r>
      <w:r>
        <w:t xml:space="preserve">• Vertebrate orthologs reported in Mus musculus, Gallus gallus, Xenopus tropicalis and Danio rerio (ogle2024comparisonofthe pages 7-9).</w:t>
      </w:r>
      <w:r>
        <w:br/>
      </w:r>
      <w:r>
        <w:t xml:space="preserve">• LAMMER kinase orthologs exist throughout eukaryotes, including Drosophila DOA, yeast KNS1 and Arabidopsis AFC1-3 (rabinow2018clk pages 545-547).</w:t>
      </w:r>
      <w:r>
        <w:br/>
      </w:r>
      <w:r>
        <w:t xml:space="preserve">• No homologs detected in prokaryotes (ogle2024comparisonofthe pages 4-7).</w:t>
      </w:r>
    </w:p>
    <w:bookmarkEnd w:id="9"/>
    <w:bookmarkStart w:id="10" w:name="reaction-catalyzed"/>
    <w:p>
      <w:pPr>
        <w:pStyle w:val="Heading2"/>
      </w:pPr>
      <w:r>
        <w:t xml:space="preserve">Reaction Catalyzed</w:t>
      </w:r>
    </w:p>
    <w:p>
      <w:pPr>
        <w:pStyle w:val="FirstParagraph"/>
      </w:pPr>
      <w:r>
        <w:t xml:space="preserve">ATP + [protein]-L-Ser/Thr/Tyr → ADP + [protein]-L-Ser/Thr/Tyr-phosphate (bullock2009kinasedomaininsertions pages 1-2).</w:t>
      </w:r>
    </w:p>
    <w:bookmarkEnd w:id="10"/>
    <w:bookmarkStart w:id="11" w:name="cofactor-requirements"/>
    <w:p>
      <w:pPr>
        <w:pStyle w:val="Heading2"/>
      </w:pPr>
      <w:r>
        <w:t xml:space="preserve">Cofactor Requirements</w:t>
      </w:r>
    </w:p>
    <w:p>
      <w:pPr>
        <w:pStyle w:val="FirstParagraph"/>
      </w:pPr>
      <w:r>
        <w:t xml:space="preserve">Mg²⁺ is required for ATP binding and catalysis (walter2018molecularstructuresof pages 15-16, moyano2020cdclikekinases(clks) pages 1-3).</w:t>
      </w:r>
    </w:p>
    <w:bookmarkEnd w:id="11"/>
    <w:bookmarkStart w:id="12" w:name="substrate-specificity"/>
    <w:p>
      <w:pPr>
        <w:pStyle w:val="Heading2"/>
      </w:pPr>
      <w:r>
        <w:t xml:space="preserve">Substrate Specificity</w:t>
      </w:r>
    </w:p>
    <w:p>
      <w:pPr>
        <w:pStyle w:val="FirstParagraph"/>
      </w:pPr>
      <w:r>
        <w:t xml:space="preserve">• Prefers serine within an R-x-x-S consensus, with a compulsory Arg at –3 (rabinow2018clk pages 545-547).</w:t>
      </w:r>
      <w:r>
        <w:br/>
      </w:r>
      <w:r>
        <w:t xml:space="preserve">• Efficiently phosphorylates RS-repeat peptide GRSRSRSRSRSR (walter2018molecularstructuresof pages 15-16).</w:t>
      </w:r>
      <w:r>
        <w:br/>
      </w:r>
      <w:r>
        <w:t xml:space="preserve">• Helix-aH and β7/β8 hairpin insertions confer relaxed docking requirements compared with SRPK1 and MAPKs (bullock2009kinasedomaininsertions pages 1-2).</w:t>
      </w:r>
    </w:p>
    <w:bookmarkEnd w:id="12"/>
    <w:bookmarkStart w:id="13" w:name="structure"/>
    <w:p>
      <w:pPr>
        <w:pStyle w:val="Heading2"/>
      </w:pPr>
      <w:r>
        <w:t xml:space="preserve">Structure</w:t>
      </w:r>
    </w:p>
    <w:p>
      <w:pPr>
        <w:pStyle w:val="FirstParagraph"/>
      </w:pPr>
      <w:r>
        <w:t xml:space="preserve">• 638-residue protein with an intrinsically disordered N-terminus (~1-300) containing short SR-like motifs that promote substrate engagement (song2023cdc2likekinasesstructure pages 3-3).</w:t>
      </w:r>
      <w:r>
        <w:br/>
      </w:r>
      <w:r>
        <w:t xml:space="preserve">• C-terminal bilobed kinase domain solved in multiple structures (PDB 2EU9, 2EXE, 2WU7, 3RAW) (lindberg2021dualspecificitytyrosinephosphorylationregulated pages 4-7).</w:t>
      </w:r>
      <w:r>
        <w:br/>
      </w:r>
      <w:r>
        <w:t xml:space="preserve">• N-lobe features Lys248 at the ATP-site entrance (moyano2020cdclikekinases(clks) pages 3-6).</w:t>
      </w:r>
      <w:r>
        <w:br/>
      </w:r>
      <w:r>
        <w:t xml:space="preserve">• C-lobe carries MAPK-like insertion, extended β-hairpin (residues 440-462) and catalytic EHLAMMERILG segment (song2023cdc2likekinasesstructure pages 3-3).</w:t>
      </w:r>
      <w:r>
        <w:br/>
      </w:r>
      <w:r>
        <w:t xml:space="preserve">• Ala319 at the DFG-1 position enlarges the ATP pocket, reducing van-der-Waals contacts with inhibitors (kallen2018x‐raystructuresand pages 2-3, lee2019structuralbasisfor pages 7-9).</w:t>
      </w:r>
      <w:r>
        <w:br/>
      </w:r>
      <w:r>
        <w:t xml:space="preserve">• Helix-aH insertion and β7/β8 hairpin block canonical docking grooves (bullock2009kinasedomaininsertions pages 1-2).</w:t>
      </w:r>
    </w:p>
    <w:bookmarkEnd w:id="13"/>
    <w:bookmarkStart w:id="14" w:name="regulation"/>
    <w:p>
      <w:pPr>
        <w:pStyle w:val="Heading2"/>
      </w:pPr>
      <w:r>
        <w:t xml:space="preserve">Regulation</w:t>
      </w:r>
    </w:p>
    <w:p>
      <w:pPr>
        <w:pStyle w:val="FirstParagraph"/>
      </w:pPr>
      <w:r>
        <w:t xml:space="preserve">• Undergoes Ser/Thr/Tyr autophosphorylation, altering nuclear localization and substrate selectivity (rabinow2018clk pages 545-547).</w:t>
      </w:r>
      <w:r>
        <w:br/>
      </w:r>
      <w:r>
        <w:t xml:space="preserve">• Catalytic activity increases at temperatures slightly below physiological norms (ogle2024comparisonofthe pages 1-4).</w:t>
      </w:r>
      <w:r>
        <w:br/>
      </w:r>
      <w:r>
        <w:t xml:space="preserve">• miR-144 binding to the 3′-UTR down-regulates CLK3 translation (song2023cdc2likekinasesstructure pages 12-15).</w:t>
      </w:r>
    </w:p>
    <w:bookmarkEnd w:id="14"/>
    <w:bookmarkStart w:id="15" w:name="function"/>
    <w:p>
      <w:pPr>
        <w:pStyle w:val="Heading2"/>
      </w:pPr>
      <w:r>
        <w:t xml:space="preserve">Function</w:t>
      </w:r>
    </w:p>
    <w:p>
      <w:pPr>
        <w:pStyle w:val="FirstParagraph"/>
      </w:pPr>
      <w:r>
        <w:t xml:space="preserve">• Predominantly nuclear; redistributes to cytoplasmic stress granules in testes (moyano2020cdclikekinases(clks) pages 3-6).</w:t>
      </w:r>
      <w:r>
        <w:br/>
      </w:r>
      <w:r>
        <w:t xml:space="preserve">• Highly expressed in mature spermatozoa (bullock2009kinasedomaininsertions pages 1-2).</w:t>
      </w:r>
      <w:r>
        <w:br/>
      </w:r>
      <w:r>
        <w:t xml:space="preserve">• Essential for vertebrate neural development; knockdown in Xenopus tropicalis causes cranial defects and lethality (ogle2024comparisonofthe pages 7-9).</w:t>
      </w:r>
      <w:r>
        <w:br/>
      </w:r>
      <w:r>
        <w:t xml:space="preserve">• Phosphorylates SR splicing factors, including SRSF family members, regulating alternative splicing (moyano2020cdclikekinases(clks) pages 3-6, bullock2009kinasedomaininsertions pages 1-2).</w:t>
      </w:r>
      <w:r>
        <w:br/>
      </w:r>
      <w:r>
        <w:t xml:space="preserve">• Controls SRSF1-dependent HMGA2 exon skipping (song2023cdc2likekinasesstructure pages 3-3).</w:t>
      </w:r>
      <w:r>
        <w:br/>
      </w:r>
      <w:r>
        <w:t xml:space="preserve">• Over-expression stimulates Wnt3a transcription and Wnt/β-catenin signaling in cholangiocarcinoma and hepatocellular carcinoma, promoting proliferation, migration and invasion (song2023cdc2likekinasesstructure pages 12-15).</w:t>
      </w:r>
      <w:r>
        <w:br/>
      </w:r>
      <w:r>
        <w:t xml:space="preserve">• Q607R gain-of-function mutation enhances phosphorylation of USP13 at Tyr708, stabilizing c-Myc and up-regulating purine synthesis (song2023cdc2likekinasesstructure pages 12-15).</w:t>
      </w:r>
    </w:p>
    <w:bookmarkEnd w:id="15"/>
    <w:bookmarkStart w:id="16" w:name="inhibitors"/>
    <w:p>
      <w:pPr>
        <w:pStyle w:val="Heading2"/>
      </w:pPr>
      <w:r>
        <w:t xml:space="preserve">Inhibitors</w:t>
      </w:r>
    </w:p>
    <w:p>
      <w:pPr>
        <w:pStyle w:val="FirstParagraph"/>
      </w:pPr>
      <w:r>
        <w:t xml:space="preserve">• SM08502: pan-CLK inhibitor, Ki ≈ 22 nM for CLK3; reduces SRSF phosphorylation and Wnt-related gene expression (song2023cdc2likekinasesstructure pages 15-15, moyano2020cdclikekinases(clks) pages 19-23).</w:t>
      </w:r>
      <w:r>
        <w:br/>
      </w:r>
      <w:r>
        <w:t xml:space="preserve">• CX-4945: ATP-competitive, IC₅₀ ≈ 90 nM; affinity limited by Ala319 in the ATP pocket (song2023cdc2likekinasesstructure pages 20-21, lee2019structuralbasisfor pages 1-2).</w:t>
      </w:r>
      <w:r>
        <w:br/>
      </w:r>
      <w:r>
        <w:t xml:space="preserve">• KH-CB19: IC₅₀ = 488 nM (song2023cdc2likekinasesstructure pages 20-21).</w:t>
      </w:r>
      <w:r>
        <w:br/>
      </w:r>
      <w:r>
        <w:t xml:space="preserve">• Benzobisthiazole scaffold compounds show selective biochemical inhibition (prak2016benzobisthiazolesrepresenta pages 1-5).</w:t>
      </w:r>
      <w:r>
        <w:br/>
      </w:r>
      <w:r>
        <w:t xml:space="preserve">• Leucettine L41: weak inhibitor, IC₅₀ &gt; 10 µM (song2023cdc2likekinasesstructure pages 20-21).</w:t>
      </w:r>
      <w:r>
        <w:br/>
      </w:r>
      <w:r>
        <w:t xml:space="preserve">• MU1210 minimally inhibits CLK3, illustrating isoform selectivity (moyano2020cdclikekinases(clks) pages 19-23).</w:t>
      </w:r>
    </w:p>
    <w:bookmarkEnd w:id="16"/>
    <w:bookmarkStart w:id="17" w:name="other-comments"/>
    <w:p>
      <w:pPr>
        <w:pStyle w:val="Heading2"/>
      </w:pPr>
      <w:r>
        <w:t xml:space="preserve">Other Comments</w:t>
      </w:r>
    </w:p>
    <w:p>
      <w:pPr>
        <w:pStyle w:val="FirstParagraph"/>
      </w:pPr>
      <w:r>
        <w:t xml:space="preserve">• Up-regulation correlates with advanced stage and poor prognosis in colon adenocarcinoma and several other tumor types (song2023cdc2likekinasesstructure pages 15-15).</w:t>
      </w:r>
      <w:r>
        <w:br/>
      </w:r>
      <w:r>
        <w:t xml:space="preserve">• Q607R somatic mutation is recurrent in cholangiocarcinoma (song2023cdc2likekinasesstructure pages 12-15).</w:t>
      </w:r>
      <w:r>
        <w:br/>
      </w:r>
      <w:r>
        <w:t xml:space="preserve">• Gene retention across vertebrates and absence in prokaryotes underscore its essential eukaryotic role (ogle2024comparisonofthe pages 4-7).</w:t>
      </w:r>
    </w:p>
    <w:p>
      <w:pPr>
        <w:pStyle w:val="BodyText"/>
      </w:pPr>
      <w:r>
        <w:t xml:space="preserve">References</w:t>
      </w:r>
    </w:p>
    <w:p>
      <w:pPr>
        <w:numPr>
          <w:ilvl w:val="0"/>
          <w:numId w:val="1001"/>
        </w:numPr>
      </w:pPr>
      <w:r>
        <w:t xml:space="preserve">(moyano2020cdclikekinases(clks) pages 19-23):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1"/>
        </w:numPr>
      </w:pPr>
      <w:r>
        <w:t xml:space="preserve">(ogle2024comparisonofthe pages 1-4): Rachel A. Ogle, Jacob K. Netherton, Benjamin R. Robinson, Florian Heyd, Xu Dong Zhang, and Mark A. Baker. Comparison of the cdc2-like kinase family across eukaryotes highlights the functional conservation of these unique biological thermometers. bioRxiv, Jun 2024. URL: https://doi.org/10.1101/2024.06.21.599975, doi:10.1101/2024.06.21.599975. This article has 0 citations.</w:t>
      </w:r>
    </w:p>
    <w:p>
      <w:pPr>
        <w:numPr>
          <w:ilvl w:val="0"/>
          <w:numId w:val="1001"/>
        </w:numPr>
      </w:pPr>
      <w:r>
        <w:t xml:space="preserve">(ogle2024comparisonofthe pages 7-9): Rachel A. Ogle, Jacob K. Netherton, Benjamin R. Robinson, Florian Heyd, Xu Dong Zhang, and Mark A. Baker. Comparison of the cdc2-like kinase family across eukaryotes highlights the functional conservation of these unique biological thermometers. bioRxiv, Jun 2024. URL: https://doi.org/10.1101/2024.06.21.599975, doi:10.1101/2024.06.21.599975. This article has 0 citations.</w:t>
      </w:r>
    </w:p>
    <w:p>
      <w:pPr>
        <w:numPr>
          <w:ilvl w:val="0"/>
          <w:numId w:val="1001"/>
        </w:numPr>
      </w:pPr>
      <w:r>
        <w:t xml:space="preserve">(rabinow2018clk pages 545-547): Leonard Rabinow. Clk. Encyclopedia of Signaling Molecules, pages 1161-1172, Jan 2018. URL: https://doi.org/10.1007/978-3-319-67199-4_277, doi:10.1007/978-3-319-67199-4_277. This article has 5 citations.</w:t>
      </w:r>
    </w:p>
    <w:p>
      <w:pPr>
        <w:numPr>
          <w:ilvl w:val="0"/>
          <w:numId w:val="1001"/>
        </w:numPr>
      </w:pPr>
      <w:r>
        <w:t xml:space="preserve">(song2023cdc2likekinasesstructure pages 12-15):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15-15):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3-3):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(bullock2009kinasedomaininsertions pages 1-2): Alex N. Bullock, Sanjan Das, Judit É. Debreczeni, Peter Rellos, Oleg Fedorov, Frank H. Niesen, Kunde Guo, Evangelos Papagrigoriou, Ann L. Amos, Suhyung Cho, Benjamin E. Turk, Gourisankar Ghosh, and Stefan Knapp. Kinase domain insertions define distinct roles of clk kinases in sr protein phosphorylation. Structure(London, England:1993), 17:352-362, Mar 2009. URL: https://doi.org/10.1016/j.str.2008.12.023, doi:10.1016/j.str.2008.12.023. This article has 145 citations.</w:t>
      </w:r>
    </w:p>
    <w:p>
      <w:pPr>
        <w:numPr>
          <w:ilvl w:val="0"/>
          <w:numId w:val="1001"/>
        </w:numPr>
      </w:pPr>
      <w:r>
        <w:t xml:space="preserve">(kallen2018x‐raystructuresand pages 2-3): Joerg Kallen, Christian Bergsdorf, Bertrand Arnaud, Mario Bernhard, Murielle Brichet, Amanda Cobos‐Correa, Azeddine Elhajouji, Felix Freuler, Ivan Galimberti, Christel Guibourdenche, Simon Haenni, Sandra Holzinger, Juerg Hunziker, Aude Izaac, Markus Kaufmann, Lukas Leder, Hans‐Joerg Martus, Peter von Matt, Valery Polyakov, Patrik Roethlisberger, Guglielmo Roma, Nikolaus Stiefl, Marianne Uteng, and Andreas Lerchner. X‐ray structures and feasibility assessment of clk2 inhibitors for phelan–mcdermid syndrome. ChemMedChem, 13:1997-2007, Aug 2018. URL: https://doi.org/10.1002/cmdc.201800344, doi:10.1002/cmdc.201800344. This article has 28 citations and is from a peer-reviewed journal.</w:t>
      </w:r>
    </w:p>
    <w:p>
      <w:pPr>
        <w:numPr>
          <w:ilvl w:val="0"/>
          <w:numId w:val="1001"/>
        </w:numPr>
      </w:pPr>
      <w:r>
        <w:t xml:space="preserve">(lee2019structuralbasisfor pages 1-2): Joo Youn Lee, Ji-Sook Yun, Woo-Keun Kim, Hang-Suk Chun, Hyeonseok Jin, Sungchan Cho, and Jeong Ho Chang. Structural basis for the selective inhibition of cdc2-like kinases by cx-4945. BioMed Research International, 2019:1-10, Aug 2019. URL: https://doi.org/10.1155/2019/6125068, doi:10.1155/2019/6125068. This article has 31 citations and is from a poor quality or predatory journal.</w:t>
      </w:r>
    </w:p>
    <w:p>
      <w:pPr>
        <w:numPr>
          <w:ilvl w:val="0"/>
          <w:numId w:val="1001"/>
        </w:numPr>
      </w:pPr>
      <w:r>
        <w:t xml:space="preserve">(lee2019structuralbasisfor pages 7-9): Joo Youn Lee, Ji-Sook Yun, Woo-Keun Kim, Hang-Suk Chun, Hyeonseok Jin, Sungchan Cho, and Jeong Ho Chang. Structural basis for the selective inhibition of cdc2-like kinases by cx-4945. BioMed Research International, 2019:1-10, Aug 2019. URL: https://doi.org/10.1155/2019/6125068, doi:10.1155/2019/6125068. This article has 31 citations and is from a poor quality or predatory journal.</w:t>
      </w:r>
    </w:p>
    <w:p>
      <w:pPr>
        <w:numPr>
          <w:ilvl w:val="0"/>
          <w:numId w:val="1001"/>
        </w:numPr>
      </w:pPr>
      <w:r>
        <w:t xml:space="preserve">(lindberg2021dualspecificitytyrosinephosphorylationregulated pages 4-7): Mattias F. Lindberg and Laurent Meijer. Dual-specificity, tyrosine phosphorylation-regulated kinases (dyrks) and cdc2-like kinases (clks) in human disease, an overview. International Journal of Molecular Sciences, 22:6047, Jun 2021. URL: https://doi.org/10.3390/ijms22116047, doi:10.3390/ijms22116047. This article has 93 citations and is from a peer-reviewed journal.</w:t>
      </w:r>
    </w:p>
    <w:p>
      <w:pPr>
        <w:numPr>
          <w:ilvl w:val="0"/>
          <w:numId w:val="1001"/>
        </w:numPr>
      </w:pPr>
      <w:r>
        <w:t xml:space="preserve">(moyano2020cdclikekinases(clks) pages 3-6):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1"/>
        </w:numPr>
      </w:pPr>
      <w:r>
        <w:t xml:space="preserve">(ogle2024comparisonofthe pages 4-7): Rachel A. Ogle, Jacob K. Netherton, Benjamin R. Robinson, Florian Heyd, Xu Dong Zhang, and Mark A. Baker. Comparison of the cdc2-like kinase family across eukaryotes highlights the functional conservation of these unique biological thermometers. bioRxiv, Jun 2024. URL: https://doi.org/10.1101/2024.06.21.599975, doi:10.1101/2024.06.21.599975. This article has 0 citations.</w:t>
      </w:r>
    </w:p>
    <w:p>
      <w:pPr>
        <w:numPr>
          <w:ilvl w:val="0"/>
          <w:numId w:val="1001"/>
        </w:numPr>
      </w:pPr>
      <w:r>
        <w:t xml:space="preserve">(prak2016benzobisthiazolesrepresenta pages 1-5): Krisna Prak, Janos Kriston-Vizi, A. W. Edith Chan, Christin Luft, Joana R. Costa, Niccolo Pengo, and Robin Ketteler. Benzobisthiazoles represent a novel scaffold for kinase inhibitors of clk family members. Biochemistry, 55:608-617, Jan 2016. URL: https://doi.org/10.1021/acs.biochem.5b01128, doi:10.1021/acs.biochem.5b01128. This article has 17 citations and is from a peer-reviewed journal.</w:t>
      </w:r>
    </w:p>
    <w:p>
      <w:pPr>
        <w:numPr>
          <w:ilvl w:val="0"/>
          <w:numId w:val="1001"/>
        </w:numPr>
      </w:pPr>
      <w:r>
        <w:t xml:space="preserve">(song2023cdc2likekinasesstructure pages 20-21):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(walter2018molecularstructuresof pages 15-16): Anne Walter, Apirat Chaikuad, Renate Helmer, Nadège Loaëc, Lutz Preu, Ingo Ott, Stefan Knapp, Laurent Meijer, and Conrad Kunick. Molecular structures of cdc2-like kinases in complex with a new inhibitor chemotype. PLOS ONE, 13:e0196761, May 2018. URL: https://doi.org/10.1371/journal.pone.0196761, doi:10.1371/journal.pone.0196761. This article has 28 citations and is from a peer-reviewed journal.</w:t>
      </w:r>
    </w:p>
    <w:p>
      <w:pPr>
        <w:numPr>
          <w:ilvl w:val="0"/>
          <w:numId w:val="1001"/>
        </w:numPr>
      </w:pPr>
      <w:r>
        <w:t xml:space="preserve">(moyano2020cdclikekinases(clks) pages 1-3):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2025-07-02T20:28:10Z</dcterms:created>
  <dcterms:modified xsi:type="dcterms:W3CDTF">2025-07-02T20:28:10Z</dcterms:modified>
</cp:coreProperties>
</file>

<file path=docProps/custom.xml><?xml version="1.0" encoding="utf-8"?>
<Properties xmlns="http://schemas.openxmlformats.org/officeDocument/2006/custom-properties" xmlns:vt="http://schemas.openxmlformats.org/officeDocument/2006/docPropsVTypes"/>
</file>