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kinome classification by Manning et al., LIMK2 is assigned to the Tyrosine Kinase-Like (TKL) group, the LISK family, and the LIMK subfamily (manning2002theproteinkinase pages 3-3, shah2023limk2amultifaceted pages 1-3, shah2023limk2amultifaceted pages 13-16). Other studies have placed LIMK2 within the STE, CaMK, or AGC kinase groups (vallee2018limk21anew pages 24-27, smolich1997cloningandbiochemical pages 5-6, shah2023limk2amultifaceted pages 10-11). The LIMK family is present in vertebrates and some insects but is absent in</w:t>
      </w:r>
      <w:r>
        <w:t xml:space="preserve"> </w:t>
      </w:r>
      <w:r>
        <w:rPr>
          <w:i/>
          <w:iCs/>
        </w:rPr>
        <w:t xml:space="preserve">C. elegans</w:t>
      </w:r>
      <w:r>
        <w:t xml:space="preserve"> </w:t>
      </w:r>
      <w:r>
        <w:t xml:space="preserve">and yeast; it contains only two members, LIMK1 and LIMK2 (shah2023limk2amultifaceted pages 1-3). LIMK1 and LIMK2 are closely related paralogs that likely resulted from a gene duplication event early in vertebrate evolution (manning2002theproteinkinase pages 3-3, scott2007limkinasesfunction pages 3-4). The ancestral form is thought to be LIMK1, as only a LIMK1-like homolog has been found in insects (scott2007limkinasesfunction pages 1-3). Orthologs of LIMK2 are found in multiple vertebrate species, including humans, mice, rats, chickens, and</w:t>
      </w:r>
      <w:r>
        <w:t xml:space="preserve"> </w:t>
      </w:r>
      <w:r>
        <w:rPr>
          <w:i/>
          <w:iCs/>
        </w:rPr>
        <w:t xml:space="preserve">Xenopus</w:t>
      </w:r>
      <w:r>
        <w:t xml:space="preserve">, as well as in</w:t>
      </w:r>
      <w:r>
        <w:t xml:space="preserve"> </w:t>
      </w:r>
      <w:r>
        <w:rPr>
          <w:i/>
          <w:iCs/>
        </w:rPr>
        <w:t xml:space="preserve">Drosophila</w:t>
      </w:r>
      <w:r>
        <w:t xml:space="preserve"> </w:t>
      </w:r>
      <w:r>
        <w:t xml:space="preserve">(scott2007limkinasesfunction pages 1-3, ribba2022theroleof pages 13-15).</w:t>
      </w:r>
    </w:p>
    <w:bookmarkEnd w:id="9"/>
    <w:bookmarkStart w:id="10" w:name="reaction-catalyzed"/>
    <w:p>
      <w:pPr>
        <w:pStyle w:val="Heading2"/>
      </w:pPr>
      <w:r>
        <w:t xml:space="preserve">Reaction Catalyzed</w:t>
      </w:r>
    </w:p>
    <w:p>
      <w:pPr>
        <w:pStyle w:val="FirstParagraph"/>
      </w:pPr>
      <w:r>
        <w:t xml:space="preserve">LIMK2 is a dual-specificity kinase that catalyzes the transfer of a phosphate group from ATP to serine, threonine, and tyrosine residues on a protein substrate (hanke2022developmentandcharacterization pages 1-3, scott2007limkinasesfunction pages 3-4, chatterjee2022structuralaspectsof pages 4-6).</w:t>
      </w:r>
      <w:r>
        <w:t xml:space="preserve"> </w:t>
      </w:r>
      <w:r>
        <w:t xml:space="preserve">ATP + a protein -&gt; ADP + a phosphoprotein</w:t>
      </w:r>
    </w:p>
    <w:bookmarkEnd w:id="10"/>
    <w:bookmarkStart w:id="11" w:name="cofactor-requirements"/>
    <w:p>
      <w:pPr>
        <w:pStyle w:val="Heading2"/>
      </w:pPr>
      <w:r>
        <w:t xml:space="preserve">Cofactor Requirements</w:t>
      </w:r>
    </w:p>
    <w:p>
      <w:pPr>
        <w:pStyle w:val="FirstParagraph"/>
      </w:pPr>
      <w:r>
        <w:t xml:space="preserve">Like other protein kinases, the catalytic activity of LIMK2 requires a divalent metal ion cofactor (knape2017divalentmetalions pages 1-2). In vitro kinase assays indicate that either magnesium (Mg²⁺) or manganese (Mn²⁺) can support its phosphoryl transfer activity (knape2017divalentmetalions pages 1-2, lovitt2010differentialeffectsof pages 4-5). Mg²⁺ is considered the most physiologically relevant and efficient cofactor for kinase catalytic cycles (knape2017divalentmetalions pages 1-2).</w:t>
      </w:r>
    </w:p>
    <w:bookmarkEnd w:id="11"/>
    <w:bookmarkStart w:id="12" w:name="substrate-specificity"/>
    <w:p>
      <w:pPr>
        <w:pStyle w:val="Heading2"/>
      </w:pPr>
      <w:r>
        <w:t xml:space="preserve">Substrate Specificity</w:t>
      </w:r>
    </w:p>
    <w:p>
      <w:pPr>
        <w:pStyle w:val="FirstParagraph"/>
      </w:pPr>
      <w:r>
        <w:t xml:space="preserve">The specific optimal substrate motif for LIMK2 is not detailed in the provided context from Johnson et al., 2023 (johnson2023anatlasof pages 6-7). However, kinome-wide analysis places LIMK2 in the CAMK group, suggesting its substrate preferences align with this family, which typically favors certain basic or hydrophobic residues near the phosphorylation site (johnson2023anatlasof pages 4-4). As a dual-specificity kinase, LIMK2 also has a defined phosphotyrosine motif, though its specific sequence is not provided (yaronbarir2024theintrinsicsubstrate pages 2-3). Substrate recognition is also mediated by a unique</w:t>
      </w:r>
      <w:r>
        <w:t xml:space="preserve"> </w:t>
      </w:r>
      <w:r>
        <w:t xml:space="preserve">‘rock-and-poke’</w:t>
      </w:r>
      <w:r>
        <w:t xml:space="preserve"> </w:t>
      </w:r>
      <w:r>
        <w:t xml:space="preserve">mechanism, where the substrate protein docks via an anchor helix distal to the kinase active site, allowing a rocking motion to position the phosphoacceptor residue for catalysis (chatterjee2022structuralaspectsof pages 4-6). The LIMK2-1 isoform recognizes a R/K-V/I-X-F consensus sequence to interact with protein phosphatase 1 (vallee2018limk21anew pages 18-22).</w:t>
      </w:r>
    </w:p>
    <w:bookmarkEnd w:id="12"/>
    <w:bookmarkStart w:id="13" w:name="structure"/>
    <w:p>
      <w:pPr>
        <w:pStyle w:val="Heading2"/>
      </w:pPr>
      <w:r>
        <w:t xml:space="preserve">Structure</w:t>
      </w:r>
    </w:p>
    <w:p>
      <w:pPr>
        <w:pStyle w:val="FirstParagraph"/>
      </w:pPr>
      <w:r>
        <w:t xml:space="preserve">LIMK2 contains two N-terminal LIM domains, a central PDZ domain, a proline/serine-rich region, and a C-terminal kinase domain (scott2007limkinasesfunction pages 3-4, manetti2012limkinasesare pages 1-3). The LIM domains are tandem cysteine/histidine-rich zinc finger motifs that facilitate protein-protein interactions (manetti2012limkinasesare pages 1-3). The PDZ domain is involved in cytoplasmic localization via nuclear export signals (manetti2012limkinasesare pages 1-3). The kinase domain adopts a canonical two-lobed fold with a smaller N-lobe composed of an antiparallel β-sheet and a larger α-helical C-lobe, which together enclose the ATP-binding cleft (chatterjee2022structuralaspectsof pages 1-3, chatterjee2022structuralaspectsof pages 3-4).</w:t>
      </w:r>
    </w:p>
    <w:p>
      <w:pPr>
        <w:pStyle w:val="BodyText"/>
      </w:pPr>
      <w:r>
        <w:t xml:space="preserve">Key structural motifs in the kinase domain include the ATP-capping glycine-rich loop, the VAIK motif that forms part of a hydrophobic pocket for the ATP adenine, the HRDXKXXN catalytic loop with the catalytic aspartate, and the DFG motif in the activation loop that regulates ATP binding via its conformation (DFG-in/active, DFG-out/inactive) (chatterjee2022structuralaspectsof pages 1-3). The active conformation is stabilized by a salt bridge between a lysine in the VAIK motif and a glutamate in the αC helix (LIMK1 numbering: K368-E384) (chatterjee2022structuralaspectsof pages 1-3, chatterjee2022structuralaspectsof pages 3-4). Unique features of LIMK2 include an atypical catalytic loop sequence (DLNSHN) and an asparagine residue at the HRD+2 position, which may affect ATP affinity (villalonga2023limkinaseslimk1 pages 2-6, shah2023limk2amultifaceted pages 3-4, chatterjee2022structuralaspectsof pages 3-4). The kinase domain shows significant conformational flexibility, particularly in the G-rich loop, αC helix, DFG motif, and activation loop (chatterjee2022structuralaspectsof pages 1-3).</w:t>
      </w:r>
    </w:p>
    <w:bookmarkEnd w:id="13"/>
    <w:bookmarkStart w:id="14" w:name="regulation"/>
    <w:p>
      <w:pPr>
        <w:pStyle w:val="Heading2"/>
      </w:pPr>
      <w:r>
        <w:t xml:space="preserve">Regulation</w:t>
      </w:r>
    </w:p>
    <w:p>
      <w:pPr>
        <w:pStyle w:val="FirstParagraph"/>
      </w:pPr>
      <w:r>
        <w:t xml:space="preserve">LIMK2 activity is principally regulated by phosphorylation within its activation loop at Threonine 505 (Thr505) for the LIMK2a isoform, or the analogous Thr484 in LIMK2b and LIMK2-1 isoforms (hanke2022developmentandcharacterization pages 1-3, chatterjee2022structuralaspectsof pages 3-4, vallee2018limk21anew pages 10-14). This activating phosphorylation is catalyzed by upstream kinases including Rho-associated kinases (ROCK1/2), p21-activated kinases (PAK1/2/4), MRCKα, and Aurora kinase A (AURKA) (villalonga2023limkinaseslimk1 pages 2-6, hanke2022developmentandcharacterization pages 1-3, shah2023limk2amultifaceted pages 6-8). Phosphorylation of Thr505 induces the formation of a salt bridge with Arginine 483 (the DFG+3 residue), which stabilizes the kinase in an active DFG-in conformation, reorients the activation loop to favor substrate docking, and markedly increases kinase activity (chatterjee2022structuralaspectsof pages 3-4, shah2023limk2amultifaceted pages 6-8).</w:t>
      </w:r>
    </w:p>
    <w:p>
      <w:pPr>
        <w:pStyle w:val="BodyText"/>
      </w:pPr>
      <w:r>
        <w:t xml:space="preserve">Additional regulatory mechanisms include an autoinhibitory function of the N-terminal LIM and PDZ domains (manetti2012limkinasesare pages 1-3). LIMK2 stability and activity are also modulated by homodimerization and transphosphorylation, which are facilitated by binding to the chaperone Hsp90 (scott2007limkinasesfunction pages 3-4, manetti2012limkinasesare pages 3-6). Phosphorylation by PKC at Ser283 and Thr494 can inhibit LIMK2a nuclear import (vallee2018limk21anew pages 18-22). The activity is negatively regulated by phosphatases such as Slingshot (SSH), which dephosphorylate key activating residues (manetti2012limkinasesare pages 3-6).</w:t>
      </w:r>
    </w:p>
    <w:bookmarkEnd w:id="14"/>
    <w:bookmarkStart w:id="15" w:name="function"/>
    <w:p>
      <w:pPr>
        <w:pStyle w:val="Heading2"/>
      </w:pPr>
      <w:r>
        <w:t xml:space="preserve">Function</w:t>
      </w:r>
    </w:p>
    <w:p>
      <w:pPr>
        <w:pStyle w:val="FirstParagraph"/>
      </w:pPr>
      <w:r>
        <w:t xml:space="preserve">LIMK2 is ubiquitously expressed in human tissues, with enriched expression in the testis and brain, and localizes to both the cytoplasm and the nucleus (ribba2022theroleof pages 13-15, chatterjee2022structuralaspectsof pages 10-11, shah2023limk2amultifaceted pages 1-3). It functions as a key regulator of actin filament dynamics downstream of Rho family GTPases (RhoA, Rac, Cdc42) (hanke2022developmentandcharacterization pages 1-3). Activation of LIMK2 by upstream kinases (ROCK, PAK, MRCKα) leads to the phosphorylation of its primary downstream substrate, the actin-depolymerizing factor (ADF)/cofilin, at Serine 3 (chatterjee2022structuralaspectsof pages 1-3, villalonga2023limkinaseslimk1 pages 2-6). This phosphorylation inactivates cofilin’s actin-severing ability, resulting in the stabilization and accumulation of actin filaments (scott2007limkinasesfunction pages 3-4, villalonga2023limkinaseslimk1 pages 2-6). This regulatory role in cytoskeletal remodeling is essential for cellular processes such as cell motility, morphology, invasion, neurite outgrowth, cell cycle progression, spermatogenesis, and platelet function (scott2007limkinasesfunction pages 3-4, chatterjee2022structuralaspectsof pages 10-11, manetti2012limkinasesare pages 1-3). Known interacting partners of LIMK2 include Hsp90, Neurofibromin (NF1), and the upstream kinase ROCK1 (scott2007limkinasesfunction pages 3-4, shah2023limk2amultifaceted pages 3-4, vallee2018limk21anew pages 10-14).</w:t>
      </w:r>
    </w:p>
    <w:bookmarkEnd w:id="15"/>
    <w:bookmarkStart w:id="16" w:name="inhibitors"/>
    <w:p>
      <w:pPr>
        <w:pStyle w:val="Heading2"/>
      </w:pPr>
      <w:r>
        <w:t xml:space="preserve">Inhibitors</w:t>
      </w:r>
    </w:p>
    <w:p>
      <w:pPr>
        <w:pStyle w:val="FirstParagraph"/>
      </w:pPr>
      <w:r>
        <w:t xml:space="preserve">Several selective, small-molecule inhibitors targeting LIMK1/2 have been developed, distinguished by their binding mode to the kinase domain (hanke2022developmentandcharacterization pages 1-3). These include the type I inhibitor LIMKi3, the type II inhibitor TH470, and the type III inhibitor TH257 (hanke2022developmentandcharacterization pages 1-3). Type III inhibitors like TH257 specifically bind to the inactive, DFG-out conformation of the kinase (hanke2022developmentandcharacterization pages 1-3, chatterjee2022structuralaspectsof pages 10-11). These compounds exhibit low nanomolar affinity and high kinase selectivity in biochemical assays (hanke2022developmentandcharacterization pages 1-3).</w:t>
      </w:r>
    </w:p>
    <w:bookmarkEnd w:id="16"/>
    <w:bookmarkStart w:id="17" w:name="other-comments"/>
    <w:p>
      <w:pPr>
        <w:pStyle w:val="Heading2"/>
      </w:pPr>
      <w:r>
        <w:t xml:space="preserve">Other Comments</w:t>
      </w:r>
    </w:p>
    <w:p>
      <w:pPr>
        <w:pStyle w:val="FirstParagraph"/>
      </w:pPr>
      <w:r>
        <w:t xml:space="preserve">The dysregulation of LIMK2 is implicated in several human pathologies, including cancer invasion and metastasis, cognitive disabilities like fragile X syndrome, cardiovascular disorders, and urogenital diseases such as erectile dysfunction and infertility (scott2007limkinasesfunction pages 1-3, manetti2012limkinasesare pages 3-6, hanke2022developmentandcharacterization pages 1-3, ribba2022theroleof pages 12-13).</w:t>
      </w:r>
    </w:p>
    <w:p>
      <w:pPr>
        <w:pStyle w:val="BodyText"/>
      </w:pPr>
      <w:r>
        <w:t xml:space="preserve">In humans, LIMK2 exists as at least three distinct isoforms (LIMK2a, LIMK2b, LIMK2-1) produced by alternative splicing (shah2023limk2amultifaceted pages 1-3, villalonga2023limkinaseslimk1 pages 1-2). These isoforms have different lengths, subcellular localizations, and functional properties (shah2023limk2amultifaceted pages 3-4). The LIMK2-1 isoform is unique in that it possesses a C-terminal protein phosphatase 1 inhibitory (PP1i) domain and does not directly phosphorylate cofilin; instead, it regulates actin dynamics by inhibiting the dephosphorylation of cofilin by PP1 (vallee2018limk21anew pages 18-22, vallee2018limk21anew pages 18-22).</w:t>
      </w:r>
    </w:p>
    <w:p>
      <w:pPr>
        <w:pStyle w:val="BodyText"/>
      </w:pPr>
      <w:r>
        <w:t xml:space="preserve">References</w:t>
      </w:r>
    </w:p>
    <w:p>
      <w:pPr>
        <w:numPr>
          <w:ilvl w:val="0"/>
          <w:numId w:val="1001"/>
        </w:numPr>
      </w:pPr>
      <w:r>
        <w:t xml:space="preserve">(chatterjee2022structuralaspectsof pages 1-3): Deep Chatterjee, Franziska Preuss, Verena Dederer, Stefan Knapp, and Sebastian Mathea. Structural aspects of limk regulation and pharmacology. Cells, 11:142, Jan 2022. URL: https://doi.org/10.3390/cells11010142, doi:10.3390/cells11010142. This article has 25 citations and is from a peer-reviewed journal.</w:t>
      </w:r>
    </w:p>
    <w:p>
      <w:pPr>
        <w:numPr>
          <w:ilvl w:val="0"/>
          <w:numId w:val="1001"/>
        </w:numPr>
      </w:pPr>
      <w:r>
        <w:t xml:space="preserve">(chatterjee2022structuralaspectsof pages 3-4): Deep Chatterjee, Franziska Preuss, Verena Dederer, Stefan Knapp, and Sebastian Mathea. Structural aspects of limk regulation and pharmacology. Cells, 11:142, Jan 2022. URL: https://doi.org/10.3390/cells11010142, doi:10.3390/cells11010142. This article has 25 citations and is from a peer-reviewed journal.</w:t>
      </w:r>
    </w:p>
    <w:p>
      <w:pPr>
        <w:numPr>
          <w:ilvl w:val="0"/>
          <w:numId w:val="1001"/>
        </w:numPr>
      </w:pPr>
      <w:r>
        <w:t xml:space="preserve">(hanke2022developmentandcharacterization pages 1-3): Thomas Hanke, Sebastian Mathea, Julia Woortman, Eidarus Salah, Benedict-Tilman Berger, Anthony Tumber, Risa Kashima, Akiko Hata, Bernhard Kuster, Susanne Müller, and Stefan Knapp. Development and characterization of type i, type ii, and type iii lim-kinase chemical probes. Journal of Medicinal Chemistry, 65:13264-13287, Sep 2022. URL: https://doi.org/10.1021/acs.jmedchem.2c01106, doi:10.1021/acs.jmedchem.2c01106. This article has 16 citations and is from a highest quality peer-reviewed journal.</w:t>
      </w:r>
    </w:p>
    <w:p>
      <w:pPr>
        <w:numPr>
          <w:ilvl w:val="0"/>
          <w:numId w:val="1001"/>
        </w:numPr>
      </w:pPr>
      <w:r>
        <w:t xml:space="preserve">(manetti2012limkinasesare pages 1-3): Fabrizio Manetti. Lim kinases are attractive targets with many macromolecular partners and only a few small molecule regulators. Medicinal Research Reviews, Sep 2012. URL: https://doi.org/10.1002/med.20230, doi:10.1002/med.20230. This article has 147 citations and is from a domain leading peer-reviewed journal.</w:t>
      </w:r>
    </w:p>
    <w:p>
      <w:pPr>
        <w:numPr>
          <w:ilvl w:val="0"/>
          <w:numId w:val="1001"/>
        </w:numPr>
      </w:pPr>
      <w:r>
        <w:t xml:space="preserve">(ribba2022theroleof pages 13-15): A. Ribba, S. Fraboulet, K. Sadoul, and L. Lafanechère. The role of lim kinases during development: a lens to get a glimpse of their implication in pathologies. Cells, Jan 2022. URL: https://doi.org/10.3390/cells11030403, doi:10.3390/cells11030403. This article has 14 citations and is from a peer-reviewed journal.</w:t>
      </w:r>
    </w:p>
    <w:p>
      <w:pPr>
        <w:numPr>
          <w:ilvl w:val="0"/>
          <w:numId w:val="1001"/>
        </w:numPr>
      </w:pPr>
      <w:r>
        <w:t xml:space="preserve">(scott2007limkinasesfunction pages 3-4): Rebecca W. Scott and Michael F. Olson. Lim kinases: function, regulation and association with human disease. Journal of Molecular Medicine, 85:555-568, Feb 2007. URL: https://doi.org/10.1007/s00109-007-0165-6, doi:10.1007/s00109-007-0165-6. This article has 413 citations.</w:t>
      </w:r>
    </w:p>
    <w:p>
      <w:pPr>
        <w:numPr>
          <w:ilvl w:val="0"/>
          <w:numId w:val="1001"/>
        </w:numPr>
      </w:pPr>
      <w:r>
        <w:t xml:space="preserve">(shah2023limk2amultifaceted pages 1-3):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1"/>
        </w:numPr>
      </w:pPr>
      <w:r>
        <w:t xml:space="preserve">(shah2023limk2amultifaceted pages 3-4):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1"/>
        </w:numPr>
      </w:pPr>
      <w:r>
        <w:t xml:space="preserve">(vallee2018limk21anew pages 18-22): Béatrice Vallée, Hélène Cuberos, Michel Doudeau, Fabienne Godin, David Gosset, Patrick Vourc’h, Christian R. Andres, and Hélène Bénédetti. Limk2-1, a new isoform of human limk2, regulates actin cytoskeleton remodeling via a different signaling pathway than that of its two homologs, limk2a and limk2b. Biochemical Journal, 475:3745-3761, Dec 2018. URL: https://doi.org/10.1042/bcj20170961, doi:10.1042/bcj20170961. This article has 15 citations and is from a domain leading peer-reviewed journal.</w:t>
      </w:r>
    </w:p>
    <w:p>
      <w:pPr>
        <w:numPr>
          <w:ilvl w:val="0"/>
          <w:numId w:val="1001"/>
        </w:numPr>
      </w:pPr>
      <w:r>
        <w:t xml:space="preserve">(villalonga2023limkinaseslimk1 pages 2-6):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35 citations and is from a peer-reviewed journal.</w:t>
      </w:r>
    </w:p>
    <w:p>
      <w:pPr>
        <w:numPr>
          <w:ilvl w:val="0"/>
          <w:numId w:val="1001"/>
        </w:numPr>
      </w:pPr>
      <w:r>
        <w:t xml:space="preserve">(chatterjee2022structuralaspectsof pages 10-11): Deep Chatterjee, Franziska Preuss, Verena Dederer, Stefan Knapp, and Sebastian Mathea. Structural aspects of limk regulation and pharmacology. Cells, 11:142, Jan 2022. URL: https://doi.org/10.3390/cells11010142, doi:10.3390/cells11010142. This article has 25 citations and is from a peer-reviewed journal.</w:t>
      </w:r>
    </w:p>
    <w:p>
      <w:pPr>
        <w:numPr>
          <w:ilvl w:val="0"/>
          <w:numId w:val="1001"/>
        </w:numPr>
      </w:pPr>
      <w:r>
        <w:t xml:space="preserve">(knape2017divalentmetalions pages 1-2): Matthias J. Knape, Mike Ballez, Nicole C. Burghardt, Bastian Zimmermann, Daniela Bertinetti, Alexandr P. Kornev, and Friedrich W. Herberg. Divalent metal ions control activity and inhibition of protein kinases. Metallomics : integrated biometal science, 9 11:1576-1584, Nov 2017. URL: https://doi.org/10.1039/c7mt00204a, doi:10.1039/c7mt00204a. This article has 65 citations.</w:t>
      </w:r>
    </w:p>
    <w:p>
      <w:pPr>
        <w:numPr>
          <w:ilvl w:val="0"/>
          <w:numId w:val="1001"/>
        </w:numPr>
      </w:pPr>
      <w:r>
        <w:t xml:space="preserve">(manetti2012limkinasesare pages 3-6): Fabrizio Manetti. Lim kinases are attractive targets with many macromolecular partners and only a few small molecule regulators. Medicinal Research Reviews, Sep 2012. URL: https://doi.org/10.1002/med.20230, doi:10.1002/med.20230. This article has 147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(scott2007limkinasesfunction pages 1-3): Rebecca W. Scott and Michael F. Olson. Lim kinases: function, regulation and association with human disease. Journal of Molecular Medicine, 85:555-568, Feb 2007. URL: https://doi.org/10.1007/s00109-007-0165-6, doi:10.1007/s00109-007-0165-6. This article has 413 citations.</w:t>
      </w:r>
    </w:p>
    <w:p>
      <w:pPr>
        <w:numPr>
          <w:ilvl w:val="0"/>
          <w:numId w:val="1001"/>
        </w:numPr>
      </w:pPr>
      <w:r>
        <w:t xml:space="preserve">(shah2023limk2amultifaceted pages 10-11):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1"/>
        </w:numPr>
      </w:pPr>
      <w:r>
        <w:t xml:space="preserve">(shah2023limk2amultifaceted pages 13-16):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1"/>
        </w:numPr>
      </w:pPr>
      <w:r>
        <w:t xml:space="preserve">(shah2023limk2amultifaceted pages 6-8):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1"/>
        </w:numPr>
      </w:pPr>
      <w:r>
        <w:t xml:space="preserve">(smolich1997cloningandbiochemical pages 5-6): B. Smolich, M. Vo, S. Buckley, G. Plowman, and J. Papkoff. Cloning and biochemical characterization of limk-2, a protein kinase containing two lim domains. Journal of Biochemistry, 121:382-388, Feb 1997. URL: https://doi.org/10.1093/oxfordjournals.jbchem.a021599, doi:10.1093/oxfordjournals.jbchem.a021599. This article has 17 citations and is from a peer-reviewed journal.</w:t>
      </w:r>
    </w:p>
    <w:p>
      <w:pPr>
        <w:numPr>
          <w:ilvl w:val="0"/>
          <w:numId w:val="1001"/>
        </w:numPr>
      </w:pPr>
      <w:r>
        <w:t xml:space="preserve">(vallee2018limk21anew pages 10-14): Béatrice Vallée, Hélène Cuberos, Michel Doudeau, Fabienne Godin, David Gosset, Patrick Vourc’h, Christian R. Andres, and Hélène Bénédetti. Limk2-1, a new isoform of human limk2, regulates actin cytoskeleton remodeling via a different signaling pathway than that of its two homologs, limk2a and limk2b. Biochemical Journal, 475:3745-3761, Dec 2018. URL: https://doi.org/10.1042/bcj20170961, doi:10.1042/bcj20170961. This article has 15 citations and is from a domain leading peer-reviewed journal.</w:t>
      </w:r>
    </w:p>
    <w:p>
      <w:pPr>
        <w:numPr>
          <w:ilvl w:val="0"/>
          <w:numId w:val="1001"/>
        </w:numPr>
      </w:pPr>
      <w:r>
        <w:t xml:space="preserve">(vallee2018limk21anew pages 24-27): Béatrice Vallée, Hélène Cuberos, Michel Doudeau, Fabienne Godin, David Gosset, Patrick Vourc’h, Christian R. Andres, and Hélène Bénédetti. Limk2-1, a new isoform of human limk2, regulates actin cytoskeleton remodeling via a different signaling pathway than that of its two homologs, limk2a and limk2b. Biochemical Journal, 475:3745-3761, Dec 2018. URL: https://doi.org/10.1042/bcj20170961, doi:10.1042/bcj20170961. This article has 15 citations and is from a domain leading peer-reviewed journal.</w:t>
      </w:r>
    </w:p>
    <w:p>
      <w:pPr>
        <w:numPr>
          <w:ilvl w:val="0"/>
          <w:numId w:val="1001"/>
        </w:numPr>
      </w:pPr>
      <w:r>
        <w:t xml:space="preserve">(villalonga2023limkinaseslimk1 pages 1-2):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35 citations and is from a peer-reviewed journal.</w:t>
      </w:r>
    </w:p>
    <w:p>
      <w:pPr>
        <w:numPr>
          <w:ilvl w:val="0"/>
          <w:numId w:val="1001"/>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(chatterjee2022structuralaspectsof pages 4-6): Deep Chatterjee, Franziska Preuss, Verena Dederer, Stefan Knapp, and Sebastian Mathea. Structural aspects of limk regulation and pharmacology. Cells, 11:142, Jan 2022. URL: https://doi.org/10.3390/cells11010142, doi:10.3390/cells11010142. This article has 25 citations and is from a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(lovitt2010differentialeffectsof pages 4-5): Brian T Lovitt, Erica C Vanderporten, Zejuan Sheng, Haitao Zhu, Jason Drummond, and Yichin Liu. Differential effects of divalent manganese and magnesium on the kinase activity of leucine-rich repeat kinase 2 (lrrk2). Biochemistry, 49 14:3092-100, Apr 2010. URL: https://doi.org/10.1021/bi901726c, doi:10.1021/bi901726c. This article has 54 citations and is from a peer-reviewed journal.</w:t>
      </w:r>
    </w:p>
    <w:p>
      <w:pPr>
        <w:numPr>
          <w:ilvl w:val="0"/>
          <w:numId w:val="1001"/>
        </w:numPr>
      </w:pPr>
      <w:r>
        <w:t xml:space="preserve">(ribba2022theroleof pages 12-13): A. Ribba, S. Fraboulet, K. Sadoul, and L. Lafanechère. The role of lim kinases during development: a lens to get a glimpse of their implication in pathologies. Cells, Jan 2022. URL: https://doi.org/10.3390/cells11030403, doi:10.3390/cells11030403. This article has 14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2025-07-02T20:28:05Z</dcterms:created>
  <dcterms:modified xsi:type="dcterms:W3CDTF">2025-07-02T20:28:05Z</dcterms:modified>
</cp:coreProperties>
</file>

<file path=docProps/custom.xml><?xml version="1.0" encoding="utf-8"?>
<Properties xmlns="http://schemas.openxmlformats.org/officeDocument/2006/custom-properties" xmlns:vt="http://schemas.openxmlformats.org/officeDocument/2006/docPropsVTypes"/>
</file>