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ROR2 belongs to the ROR sub-family within the NTRK superfamily of receptor tyrosine kinases, a lineage that diverged early from the MuSK, Nrk, Ddr and Trk families (green2008rorreceptortyrosine pages 12-17).</w:t>
      </w:r>
      <w:r>
        <w:br/>
      </w:r>
      <w:r>
        <w:t xml:space="preserve">• Orthologs are documented in Caenorhabditis elegans (cam-1), Drosophila melanogaster (Ror), Xenopus laevis (Xror2) and Mus musculus (Ror2), with homologous sequences already present in basal metazoans such as sea anemones (minami2010ror‐familyreceptortyrosine pages 1-2, green2008rorreceptortyrosine pages 12-17).</w:t>
      </w:r>
      <w:r>
        <w:br/>
      </w:r>
      <w:r>
        <w:t xml:space="preserve">• ROR2 is partially redundant with the closely related vertebrate paralog ROR1 (yoda2003expressionandfunction pages 8-10).</w:t>
      </w:r>
      <w:r>
        <w:br/>
      </w:r>
      <w:r>
        <w:t xml:space="preserve">• Kinase-domain sequence clustering places ROR2 closest to MuSK and Discoidin Domain Receptors within the RTK group (debebe2015ror2asa pages 4-6).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[protein]-L-tyrosine → ADP + [protein]-O-phospho-L-tyrosine (minami2010ror‐familyreceptortyrosine pages 2-3).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Divalent-cation requirement has not been reported in the available literature (minami2010ror‐familyreceptortyrosine pages 2-3).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Verified substrate: scaffold protein 14-3-3β (YWHAB) is phosphorylated on tyrosine after WNT5A-dependent receptor activation (minami2010ror‐familyreceptortyrosine pages 2-3, green2008rorreceptortyrosine pages 6-8).</w:t>
      </w:r>
      <w:r>
        <w:br/>
      </w:r>
      <w:r>
        <w:t xml:space="preserve">• Autophosphorylation occurs at Y645 and Y755 within the intracellular domain (debebe2015ror2asa pages 12-14).</w:t>
      </w:r>
      <w:r>
        <w:br/>
      </w:r>
      <w:r>
        <w:t xml:space="preserve">• A consensus phosphorylation motif for exogenous substrates has not been delineated (debebe2015ror2asa pages 1-3).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Modular organisation: Ig-like domain – Frizzled-type cysteine-rich domain (CRD; 10 conserved cysteines) – Kringle domain – single-pass transmembrane helix – intracellular tyrosine-kinase-like domain – proline-rich segment flanked by serine/threonine-rich regions (green2008rorreceptortyrosine pages 1-3, debebe2015ror2asa pages 3-4).</w:t>
      </w:r>
      <w:r>
        <w:br/>
      </w:r>
      <w:r>
        <w:t xml:space="preserve">• Crystal structure of the isolated kinase domain (PDB 5DN3) adopts an autoinhibited conformation in which the activation loop blocks the ATP pocket, a tyrosine side chain occupies the adenine site, and the canonical DFG motif contains an Asp→Gly substitution that ablates normal Mg²⁺ coordination (debebe2015ror2asa pages 4-6).</w:t>
      </w:r>
      <w:r>
        <w:br/>
      </w:r>
      <w:r>
        <w:t xml:space="preserve">• The HRD catalytic triad is followed by a non-canonical YXXDYY autophosphorylation segment; the hydrophobic spine is incomplete and the αC-helix is displaced, consistent with pseudokinase architecture (debebe2015ror2asa pages 4-6).</w:t>
      </w:r>
      <w:r>
        <w:br/>
      </w:r>
      <w:r>
        <w:t xml:space="preserve">• Overall fold is most similar to insulin receptor kinase despite the inactivating deviations noted above (debebe2015ror2asa pages 4-6).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WNT5A binding induces receptor homodimerisation and increases tyrosine phosphorylation of ROR2 (liu2008wnt5ainduceshomodimerization pages 6-6).</w:t>
      </w:r>
      <w:r>
        <w:br/>
      </w:r>
      <w:r>
        <w:t xml:space="preserve">• Artificial dimerisation or over-expression produces a comparable phosphorylation response (minami2010ror‐familyreceptortyrosine pages 2-3).</w:t>
      </w:r>
      <w:r>
        <w:br/>
      </w:r>
      <w:r>
        <w:t xml:space="preserve">• Casein kinase Iε and GSK3α/β phosphorylate serine/threonine residues in the cytoplasmic tail, modulating cell migration (green2008rorreceptortyrosine pages 4-6).</w:t>
      </w:r>
      <w:r>
        <w:br/>
      </w:r>
      <w:r>
        <w:t xml:space="preserve">• Src family kinases are activated downstream of WNT5A/ROR2 and further phosphorylate the receptor, promoting internalisation (green2008rorreceptortyrosine pages 6-8).</w:t>
      </w:r>
      <w:r>
        <w:br/>
      </w:r>
      <w:r>
        <w:t xml:space="preserve">• Autophosphorylation at Y645 and Y755 provides additional intracellular signalling sites (debebe2015ror2asa pages 12-14).</w:t>
      </w:r>
      <w:r>
        <w:br/>
      </w:r>
      <w:r>
        <w:t xml:space="preserve">• The activation loop-mediated occlusion of the ATP pocket functions as an intrinsic autoinhibitory mechanism (debebe2015ror2asa pages 4-6).</w:t>
      </w:r>
      <w:r>
        <w:br/>
      </w:r>
      <w:r>
        <w:t xml:space="preserve">• Reports disagree on intrinsic catalytic competence: low but measurable kinase activity has been detected, whereas structural analyses classify the domain as a pseudokinase (minami2010ror‐familyreceptortyrosine pages 2-3, debebe2015ror2asa pages 4-6).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Developmental expression is high in forebrain, midbrain, presomitic mesoderm, neural-crest derivatives, craniofacial mesenchyme, limb buds, heart, lung, kidney, gut and nervous system; adult expression is largely restricted to uterus and osteoblasts (minami2010ror-familyreceptortyrosine pages 2-3, debebe2015ror2asa pages 1-3).</w:t>
      </w:r>
      <w:r>
        <w:br/>
      </w:r>
      <w:r>
        <w:t xml:space="preserve">• Acts as a receptor or co-receptor for WNT5A (and context-dependently WNT3A), channeling non-canonical WNT/JNK signalling that controls planar cell polarity and convergent extension, and modulating canonical β-catenin signalling positively or negatively depending on cellular context (green2008rorreceptortyrosine pages 4-6, green2008rorreceptortyrosine pages 6-8).</w:t>
      </w:r>
      <w:r>
        <w:br/>
      </w:r>
      <w:r>
        <w:t xml:space="preserve">• Interacting partners include Frizzled receptors FZD2/5, collagen triple helix repeat containing protein-1 (Cthrc1), filamin-A, casein kinase Iε, GSK3β, Src and 14-3-3β (green2008rorreceptortyrosine pages 6-8, debebe2015ror2asa pages 3-4).</w:t>
      </w:r>
      <w:r>
        <w:br/>
      </w:r>
      <w:r>
        <w:t xml:space="preserve">• Biological roles encompass chondrocyte differentiation, growth-plate organisation, skeletal morphogenesis, neurite outgrowth, cytoskeletal remodelling and osteogenesis (green2008rorreceptortyrosine pages 4-6, yoda2003expressionandfunction pages 8-10).</w:t>
      </w:r>
      <w:r>
        <w:br/>
      </w:r>
      <w:r>
        <w:t xml:space="preserve">• In cancer, ROR2 is up-regulated in renal cell carcinoma, osteosarcoma, melanoma, breast cancer and head-and-neck squamous carcinoma, where it enhances migration, invasion and epithelial-mesenchymal transition; in renal carcinoma its transcription is driven by HIF-1α/HIF-2α (debebe2015ror2asa pages 6-8, debebe2015ror2asa pages 1-3).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No selective small-molecule inhibitors have been reported; therapeutic efforts focus on monoclonal or bispecific antibodies, antibody-drug conjugates and CAR-engineered immune cells directed against the extracellular domain (debebe2015ror2asa pages 8-10).</w:t>
      </w:r>
      <w:r>
        <w:br/>
      </w:r>
      <w:r>
        <w:t xml:space="preserve">• Experimental bivalent antibodies or ROR2-Fc fusion proteins can induce receptor dimerisation and phosphorylation but have not been optimised for inhibition (green2008rorreceptortyrosine pages 6-8).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Loss-of-function variants in ROR2 cause autosomal recessive Robinow syndrome and autosomal dominant brachydactyly type B, both characterised by skeletal and craniofacial malformations (green2008rorreceptortyrosine pages 3-4, yoda2003expressionandfunction pages 10-12).</w:t>
      </w:r>
      <w:r>
        <w:br/>
      </w:r>
      <w:r>
        <w:t xml:space="preserve">• Pathogenic kinase-domain truncations such as p.Trp749* and frameshift p.Gly666fs abolish receptor function (debebe2015ror2asa pages 1-3).</w:t>
      </w:r>
      <w:r>
        <w:br/>
      </w:r>
      <w:r>
        <w:t xml:space="preserve">• Combined deletion of Ror1 and Ror2 in mice produces more severe skeletal and cardiac defects than single knockouts, underscoring functional redundancy (yoda2003expressionandfunction pages 8-10).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(green2008rorreceptortyrosine pages 12-17): Jennifer L. Green, Steven G Kuntz, and P. Sternberg. Ror receptor tyrosine kinases: orphans no more. Trends in cell biology, 18 11:536-44, Nov 2008. URL: https://doi.org/10.1016/j.tcb.2008.08.006, doi:10.1016/j.tcb.2008.08.006. This article has 310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(minami2010ror‐familyreceptortyrosine pages 1-2): Yasuhiro Minami, Isao Oishi, Mitsuharu Endo, and Michiru Nishita. Ror‐family receptor tyrosine kinases in noncanonical wnt signaling: their implications in developmental morphogenesis and human diseases. Developmental Dynamics, 239:1-15, Jun 2010. URL: https://doi.org/10.1002/dvdy.21991, doi:10.1002/dvdy.21991. This article has 316 citations and is from a peer-reviewed journal.</w:t>
      </w:r>
    </w:p>
    <w:p>
      <w:pPr>
        <w:numPr>
          <w:ilvl w:val="0"/>
          <w:numId w:val="1001"/>
        </w:numPr>
      </w:pPr>
      <w:r>
        <w:t xml:space="preserve">(debebe2015ror2asa pages 1-3): Z. Debebe and W. Rathmell. Ror2 as a therapeutic target in cancer. Pharmacology &amp; therapeutics, 150:143-8, Jun 2015. URL: https://doi.org/10.1016/j.pharmthera.2015.01.010, doi:10.1016/j.pharmthera.2015.01.010. This article has 108 citations.</w:t>
      </w:r>
    </w:p>
    <w:p>
      <w:pPr>
        <w:numPr>
          <w:ilvl w:val="0"/>
          <w:numId w:val="1001"/>
        </w:numPr>
      </w:pPr>
      <w:r>
        <w:t xml:space="preserve">(debebe2015ror2asa pages 12-14): Z. Debebe and W. Rathmell. Ror2 as a therapeutic target in cancer. Pharmacology &amp; therapeutics, 150:143-8, Jun 2015. URL: https://doi.org/10.1016/j.pharmthera.2015.01.010, doi:10.1016/j.pharmthera.2015.01.010. This article has 108 citations.</w:t>
      </w:r>
    </w:p>
    <w:p>
      <w:pPr>
        <w:numPr>
          <w:ilvl w:val="0"/>
          <w:numId w:val="1001"/>
        </w:numPr>
      </w:pPr>
      <w:r>
        <w:t xml:space="preserve">(debebe2015ror2asa pages 3-4): Z. Debebe and W. Rathmell. Ror2 as a therapeutic target in cancer. Pharmacology &amp; therapeutics, 150:143-8, Jun 2015. URL: https://doi.org/10.1016/j.pharmthera.2015.01.010, doi:10.1016/j.pharmthera.2015.01.010. This article has 108 citations.</w:t>
      </w:r>
    </w:p>
    <w:p>
      <w:pPr>
        <w:numPr>
          <w:ilvl w:val="0"/>
          <w:numId w:val="1001"/>
        </w:numPr>
      </w:pPr>
      <w:r>
        <w:t xml:space="preserve">(debebe2015ror2asa pages 4-6): Z. Debebe and W. Rathmell. Ror2 as a therapeutic target in cancer. Pharmacology &amp; therapeutics, 150:143-8, Jun 2015. URL: https://doi.org/10.1016/j.pharmthera.2015.01.010, doi:10.1016/j.pharmthera.2015.01.010. This article has 108 citations.</w:t>
      </w:r>
    </w:p>
    <w:p>
      <w:pPr>
        <w:numPr>
          <w:ilvl w:val="0"/>
          <w:numId w:val="1001"/>
        </w:numPr>
      </w:pPr>
      <w:r>
        <w:t xml:space="preserve">(debebe2015ror2asa pages 6-8): Z. Debebe and W. Rathmell. Ror2 as a therapeutic target in cancer. Pharmacology &amp; therapeutics, 150:143-8, Jun 2015. URL: https://doi.org/10.1016/j.pharmthera.2015.01.010, doi:10.1016/j.pharmthera.2015.01.010. This article has 108 citations.</w:t>
      </w:r>
    </w:p>
    <w:p>
      <w:pPr>
        <w:numPr>
          <w:ilvl w:val="0"/>
          <w:numId w:val="1001"/>
        </w:numPr>
      </w:pPr>
      <w:r>
        <w:t xml:space="preserve">(debebe2015ror2asa pages 8-10): Z. Debebe and W. Rathmell. Ror2 as a therapeutic target in cancer. Pharmacology &amp; therapeutics, 150:143-8, Jun 2015. URL: https://doi.org/10.1016/j.pharmthera.2015.01.010, doi:10.1016/j.pharmthera.2015.01.010. This article has 108 citations.</w:t>
      </w:r>
    </w:p>
    <w:p>
      <w:pPr>
        <w:numPr>
          <w:ilvl w:val="0"/>
          <w:numId w:val="1001"/>
        </w:numPr>
      </w:pPr>
      <w:r>
        <w:t xml:space="preserve">(green2008rorreceptortyrosine pages 1-3): Jennifer L. Green, Steven G Kuntz, and P. Sternberg. Ror receptor tyrosine kinases: orphans no more. Trends in cell biology, 18 11:536-44, Nov 2008. URL: https://doi.org/10.1016/j.tcb.2008.08.006, doi:10.1016/j.tcb.2008.08.006. This article has 310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(green2008rorreceptortyrosine pages 3-4): Jennifer L. Green, Steven G Kuntz, and P. Sternberg. Ror receptor tyrosine kinases: orphans no more. Trends in cell biology, 18 11:536-44, Nov 2008. URL: https://doi.org/10.1016/j.tcb.2008.08.006, doi:10.1016/j.tcb.2008.08.006. This article has 310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(green2008rorreceptortyrosine pages 4-6): Jennifer L. Green, Steven G Kuntz, and P. Sternberg. Ror receptor tyrosine kinases: orphans no more. Trends in cell biology, 18 11:536-44, Nov 2008. URL: https://doi.org/10.1016/j.tcb.2008.08.006, doi:10.1016/j.tcb.2008.08.006. This article has 310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(green2008rorreceptortyrosine pages 6-8): Jennifer L. Green, Steven G Kuntz, and P. Sternberg. Ror receptor tyrosine kinases: orphans no more. Trends in cell biology, 18 11:536-44, Nov 2008. URL: https://doi.org/10.1016/j.tcb.2008.08.006, doi:10.1016/j.tcb.2008.08.006. This article has 310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(minami2010ror‐familyreceptortyrosine pages 2-3): Yasuhiro Minami, Isao Oishi, Mitsuharu Endo, and Michiru Nishita. Ror‐family receptor tyrosine kinases in noncanonical wnt signaling: their implications in developmental morphogenesis and human diseases. Developmental Dynamics, 239:1-15, Jun 2010. URL: https://doi.org/10.1002/dvdy.21991, doi:10.1002/dvdy.21991. This article has 316 citations and is from a peer-reviewed journal.</w:t>
      </w:r>
    </w:p>
    <w:p>
      <w:pPr>
        <w:numPr>
          <w:ilvl w:val="0"/>
          <w:numId w:val="1001"/>
        </w:numPr>
      </w:pPr>
      <w:r>
        <w:t xml:space="preserve">(yoda2003expressionandfunction pages 10-12): Akinori Yoda, Isao Oishi, and Yasuhiro Minami. Expression and function of the ror‐family receptor tyrosine kinases during development: lessons from genetic analyses of nematodes, mice, and humans. Journal of Receptors and Signal Transduction, 23:1-15, Jan 2003. URL: https://doi.org/10.1081/rrs-120018757, doi:10.1081/rrs-120018757. This article has 127 citations and is from a peer-reviewed journal.</w:t>
      </w:r>
    </w:p>
    <w:p>
      <w:pPr>
        <w:numPr>
          <w:ilvl w:val="0"/>
          <w:numId w:val="1001"/>
        </w:numPr>
      </w:pPr>
      <w:r>
        <w:t xml:space="preserve">(liu2008wnt5ainduceshomodimerization pages 6-6): Yan Liu, Boris Rubin, Peter V.N. Bodine, and Julia Billiard. Wnt5a induces homodimerization and activation of ror2 receptor tyrosine kinase. Journal of Cellular Biochemistry, Oct 2008. URL: https://doi.org/10.1002/jcb.21848, doi:10.1002/jcb.21848. This article has 185 citations and is from a peer-reviewed journal.</w:t>
      </w:r>
    </w:p>
    <w:p>
      <w:pPr>
        <w:numPr>
          <w:ilvl w:val="0"/>
          <w:numId w:val="1001"/>
        </w:numPr>
      </w:pPr>
      <w:r>
        <w:t xml:space="preserve">(yoda2003expressionandfunction pages 8-10): Akinori Yoda, Isao Oishi, and Yasuhiro Minami. Expression and function of the ror‐family receptor tyrosine kinases during development: lessons from genetic analyses of nematodes, mice, and humans. Journal of Receptors and Signal Transduction, 23:1-15, Jan 2003. URL: https://doi.org/10.1081/rrs-120018757, doi:10.1081/rrs-120018757. This article has 127 citations and is from a peer-reviewed journal.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2025-07-02T17:27:19Z</dcterms:created>
  <dcterms:modified xsi:type="dcterms:W3CDTF">2025-07-02T17:27:19Z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