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mixed-lineage kinase (MLK) subfamily within the STE group of MAP3Ks in the human kinome (gallo2002mixedlineagekinasecontrol pages 2-3).</w:t>
      </w:r>
      <w:r>
        <w:br/>
      </w:r>
      <w:r>
        <w:t xml:space="preserve">• Clusters with paralogs MAP3K9 (MLK1), MAP3K11 (MLK3) and MAP3K21 (MLK4); adjacent branches include MAP3K12 (DLK) and MAP3K13 (LZK) (modi2019astructurallyvalidated pages 19-22).</w:t>
      </w:r>
      <w:r>
        <w:br/>
      </w:r>
      <w:r>
        <w:t xml:space="preserve">• Orthologs are conserved from vertebrates (murine and rat MLK homologs) to invertebrates such as Drosophila Slipper and C. elegans MLK, underscoring an evolutionarily preserved JNK-activating module (gallo2002mixedlineagekinasecontrol pages 1-2).</w:t>
      </w:r>
    </w:p>
    <w:bookmarkEnd w:id="9"/>
    <w:bookmarkStart w:id="10" w:name="reaction-catalyzed"/>
    <w:p>
      <w:pPr>
        <w:pStyle w:val="Heading2"/>
      </w:pPr>
      <w:r>
        <w:t xml:space="preserve">Reaction Catalyzed</w:t>
      </w:r>
    </w:p>
    <w:p>
      <w:pPr>
        <w:pStyle w:val="FirstParagraph"/>
      </w:pPr>
      <w:r>
        <w:t xml:space="preserve">ATP + protein-Ser/Thr → ADP + protein-Ser/Thr-P (hirai1997mstmlk2amember pages 1-1).</w:t>
      </w:r>
    </w:p>
    <w:bookmarkEnd w:id="10"/>
    <w:bookmarkStart w:id="11" w:name="cofactor-requirements"/>
    <w:p>
      <w:pPr>
        <w:pStyle w:val="Heading2"/>
      </w:pPr>
      <w:r>
        <w:t xml:space="preserve">Cofactor Requirements</w:t>
      </w:r>
    </w:p>
    <w:p>
      <w:pPr>
        <w:pStyle w:val="FirstParagraph"/>
      </w:pPr>
      <w:r>
        <w:t xml:space="preserve">No divalent-cation requirement has been experimentally documented in the referenced studies (sapkota2013thetgfβinducedphosphorylation pages 6-7).</w:t>
      </w:r>
    </w:p>
    <w:bookmarkEnd w:id="11"/>
    <w:bookmarkStart w:id="12" w:name="substrate-specificity"/>
    <w:p>
      <w:pPr>
        <w:pStyle w:val="Heading2"/>
      </w:pPr>
      <w:r>
        <w:t xml:space="preserve">Substrate Specificity</w:t>
      </w:r>
    </w:p>
    <w:p>
      <w:pPr>
        <w:pStyle w:val="FirstParagraph"/>
      </w:pPr>
      <w:r>
        <w:t xml:space="preserve">• Peptide-library profiling places MAP3K10 in a MAP3K-specific cluster that disfavors acidic residues at −2/−3, prefers hydrophobic or Gln at +1, and shows a modest bias toward threonine as the phospho-acceptor (johnson2023anatlasof pages 2-3).</w:t>
      </w:r>
      <w:r>
        <w:br/>
      </w:r>
      <w:r>
        <w:t xml:space="preserve">• Direct protein substrates include MAP2Ks SEK1/MKK4 and MKK7, phosphorylated by MAP3K10 on their activation-loop Thr/Tyr sites (hirai1997mstmlk2amember pages 1-1).</w:t>
      </w:r>
    </w:p>
    <w:bookmarkEnd w:id="12"/>
    <w:bookmarkStart w:id="13" w:name="structure"/>
    <w:p>
      <w:pPr>
        <w:pStyle w:val="Heading2"/>
      </w:pPr>
      <w:r>
        <w:t xml:space="preserve">Structure</w:t>
      </w:r>
    </w:p>
    <w:p>
      <w:pPr>
        <w:pStyle w:val="FirstParagraph"/>
      </w:pPr>
      <w:r>
        <w:t xml:space="preserve">• Domain layout: N-terminal SH3, catalytic kinase domain, central leucine-zipper (LZ), C-terminal CRIB motif and proline-rich tail (gallo2002mixedlineagekinasecontrol pages 3-4).</w:t>
      </w:r>
      <w:r>
        <w:br/>
      </w:r>
      <w:r>
        <w:t xml:space="preserve">• SH3 domain crystal structures (PDB 5K28, 5K26, 6AQB) reveal two distinct peptide-binding pockets (kokoszka2018identificationoftwo pages 1-2).</w:t>
      </w:r>
      <w:r>
        <w:br/>
      </w:r>
      <w:r>
        <w:t xml:space="preserve">• LZ-mediated homodimerisation juxtaposes activation loops, enabling trans-autophosphorylation required for full activity (gallo2002mixedlineagekinasecontrol pages 3-4).</w:t>
      </w:r>
      <w:r>
        <w:br/>
      </w:r>
      <w:r>
        <w:t xml:space="preserve">• No full-length or kinase-domain crystal structure is available; structural features are inferred from conserved bilobal architecture shared across MLKs (gallo2002mixedlineagekinasecontrol pages 1-2).</w:t>
      </w:r>
    </w:p>
    <w:bookmarkEnd w:id="13"/>
    <w:bookmarkStart w:id="14" w:name="regulation"/>
    <w:p>
      <w:pPr>
        <w:pStyle w:val="Heading2"/>
      </w:pPr>
      <w:r>
        <w:t xml:space="preserve">Regulation</w:t>
      </w:r>
    </w:p>
    <w:p>
      <w:pPr>
        <w:pStyle w:val="FirstParagraph"/>
      </w:pPr>
      <w:r>
        <w:t xml:space="preserve">• Autophosphorylation of the activation loop following LZ-driven dimer formation is essential for catalytic activity (gallo2002mixedlineagekinasecontrol pages 3-4).</w:t>
      </w:r>
      <w:r>
        <w:br/>
      </w:r>
      <w:r>
        <w:t xml:space="preserve">• HPK1 phosphorylates the activation loop, further enhancing activity (gallo2002mixedlineagekinasecontrol pages 8-9).</w:t>
      </w:r>
      <w:r>
        <w:br/>
      </w:r>
      <w:r>
        <w:t xml:space="preserve">• JNK phosphorylates C-terminal Ser/Thr residues, providing negative feedback that modulates stability and activity (gallo2002mixedlineagekinasecontrol pages 8-9).</w:t>
      </w:r>
      <w:r>
        <w:br/>
      </w:r>
      <w:r>
        <w:t xml:space="preserve">• GTP-bound Rac1/Cdc42 binds the CRIB motif, relieving SH3 autoinhibition and recruiting the kinase to membranes (gallo2002mixedlineagekinasecontrol pages 4-5).</w:t>
      </w:r>
      <w:r>
        <w:br/>
      </w:r>
      <w:r>
        <w:t xml:space="preserve">• Prenylation promotes transient membrane association during signalling (gallo2002mixedlineagekinasecontrol pages 4-5).</w:t>
      </w:r>
      <w:r>
        <w:br/>
      </w:r>
      <w:r>
        <w:t xml:space="preserve">• Wild-type huntingtin sequesters MAP3K10; dissociation from polyglutamine-expanded huntingtin releases and activates the kinase (gallo2002mixedlineagekinasecontrol pages 8-8).</w:t>
      </w:r>
    </w:p>
    <w:bookmarkEnd w:id="14"/>
    <w:bookmarkStart w:id="15" w:name="function"/>
    <w:p>
      <w:pPr>
        <w:pStyle w:val="Heading2"/>
      </w:pPr>
      <w:r>
        <w:t xml:space="preserve">Function</w:t>
      </w:r>
    </w:p>
    <w:p>
      <w:pPr>
        <w:pStyle w:val="FirstParagraph"/>
      </w:pPr>
      <w:r>
        <w:t xml:space="preserve">• High expression in brain, skeletal muscle and testes (gallo2002mixedlineagekinasecontrol pages 3-4).</w:t>
      </w:r>
      <w:r>
        <w:br/>
      </w:r>
      <w:r>
        <w:t xml:space="preserve">• Upstream regulators: active Rac1/Cdc42, HPK1, huntingtin, KIF3/KAP3A motor complex and JIP scaffolds (nagata1998themapkinase pages 1-2).</w:t>
      </w:r>
      <w:r>
        <w:br/>
      </w:r>
      <w:r>
        <w:t xml:space="preserve">• Downstream targets: MKK4/MKK7 → JNK and MKK3/6 → p38; weak ERK activation under over-expression (gallo2002mixedlineagekinasecontrol pages 1-2).</w:t>
      </w:r>
      <w:r>
        <w:br/>
      </w:r>
      <w:r>
        <w:t xml:space="preserve">• Governs stress-induced apoptosis, cytoskeletal organisation, vesicle transport and developmental morphogenesis via JNK/p38 pathways (gallo2002mixedlineagekinasecontrol pages 8-8).</w:t>
      </w:r>
    </w:p>
    <w:bookmarkEnd w:id="15"/>
    <w:bookmarkStart w:id="16" w:name="inhibitors"/>
    <w:p>
      <w:pPr>
        <w:pStyle w:val="Heading2"/>
      </w:pPr>
      <w:r>
        <w:t xml:space="preserve">Inhibitors</w:t>
      </w:r>
    </w:p>
    <w:p>
      <w:pPr>
        <w:pStyle w:val="FirstParagraph"/>
      </w:pPr>
      <w:r>
        <w:t xml:space="preserve">Pan-MLK inhibitors CEP-1347 and CEP-11004 block MAP3K10 activity and downstream JNK signalling (rana2013mixedlineagekinasecjun pages 1-2).</w:t>
      </w:r>
    </w:p>
    <w:bookmarkEnd w:id="16"/>
    <w:bookmarkStart w:id="17" w:name="other-comments"/>
    <w:p>
      <w:pPr>
        <w:pStyle w:val="Heading2"/>
      </w:pPr>
      <w:r>
        <w:t xml:space="preserve">Other Comments</w:t>
      </w:r>
    </w:p>
    <w:p>
      <w:pPr>
        <w:pStyle w:val="FirstParagraph"/>
      </w:pPr>
      <w:r>
        <w:t xml:space="preserve">• Huntington’s disease: loss of huntingtin sequestration unleashes MAP3K10-driven JNK activation leading to neuronal apoptosis (gallo2002mixedlineagekinasecontrol pages 8-8).</w:t>
      </w:r>
      <w:r>
        <w:br/>
      </w:r>
      <w:r>
        <w:t xml:space="preserve">• Cancer: dysregulated MLK-JNK signalling promotes migration and invasion, positioning MAP3K10 as a therapeutic target (rana2013mixedlineagekinasecjun pages 3-5).</w:t>
      </w:r>
    </w:p>
    <w:p>
      <w:pPr>
        <w:pStyle w:val="BodyText"/>
      </w:pPr>
      <w:r>
        <w:t xml:space="preserve">References</w:t>
      </w:r>
    </w:p>
    <w:p>
      <w:pPr>
        <w:numPr>
          <w:ilvl w:val="0"/>
          <w:numId w:val="1001"/>
        </w:numPr>
      </w:pPr>
      <w:r>
        <w:t xml:space="preserve">(gallo2002mixedlineagekinasecontrol pages 1-2):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2-3):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3-4):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4-5):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8-8):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8-9):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(hirai1997mstmlk2amember pages 1-1): S. Hirai, M. Katoh, M. Terada, J. Kyriakis, L. Zon, A. Rana, J. Avruch, and S. Ohno. Mst/mlk2, a member of the mixed lineage kinase family, directly phosphorylates and activates sek1, an activator of c-jun n-terminal kinase/stress-activated protein kinase*. The Journal of Biological Chemistry, 272:15167-15173, Jun 1997. URL: https://doi.org/10.1074/jbc.272.24.15167, doi:10.1074/jbc.272.24.15167. This article has 237 citations.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(modi2019astructurallyvalidated pages 19-22): Vivek Modi and Roland L. Dunbrack. A structurally validated sequence alignment of all 497 typical human protein kinase domains. bioRxiv, Sep 2019. URL: https://doi.org/10.1101/776740, doi:10.1101/776740. This article has 8 citations.</w:t>
      </w:r>
    </w:p>
    <w:p>
      <w:pPr>
        <w:numPr>
          <w:ilvl w:val="0"/>
          <w:numId w:val="1001"/>
        </w:numPr>
      </w:pPr>
      <w:r>
        <w:t xml:space="preserve">(nagata1998themapkinase pages 1-2): K. Nagata, Axel Puls, C. Futter, P. Aspenstrom, E. Schaefer, T. Nakata, N. Hirokawa, and A. Hall. The map kinase kinase kinase mlk2 co-localizes with activated jnk along microtubules and associates with kinesin superfamily motor kif3. The EMBO Journal, 17:149-158, Jan 1998. URL: https://doi.org/10.1093/emboj/17.1.149, doi:10.1093/emboj/17.1.149. This article has 341 citations.</w:t>
      </w:r>
    </w:p>
    <w:p>
      <w:pPr>
        <w:numPr>
          <w:ilvl w:val="0"/>
          <w:numId w:val="1001"/>
        </w:numPr>
      </w:pPr>
      <w:r>
        <w:t xml:space="preserve">(rana2013mixedlineagekinasecjun pages 1-2):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(rana2013mixedlineagekinasecjun pages 3-5):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1"/>
        </w:numPr>
      </w:pPr>
      <w:r>
        <w:t xml:space="preserve">(kokoszka2018identificationoftwo pages 1-2): Malgorzata E. Kokoszka, Stefanie L. Kall, Sehar Khosla, Jennifer E. McGinnis, Arnon Lavie, and Brian K. Kay. Identification of two distinct peptide-binding pockets in the sh3 domain of human mixed-lineage kinase 3. Journal of Biological Chemistry, 293:13553-13565, Aug 2018. URL: https://doi.org/10.1074/jbc.ra117.000262, doi:10.1074/jbc.ra117.000262. This article has 10 citations and is from a domain leading peer-reviewed journal.</w:t>
      </w:r>
    </w:p>
    <w:p>
      <w:pPr>
        <w:numPr>
          <w:ilvl w:val="0"/>
          <w:numId w:val="1001"/>
        </w:numPr>
      </w:pPr>
      <w:r>
        <w:t xml:space="preserve">(sapkota2013thetgfβinducedphosphorylation pages 6-7): Gopal P. Sapkota. The tgfβ-induced phosphorylation and activation of p38 mitogen-activated protein kinase is mediated by map3k4 and map3k10 but not tak1. Open Biology, 3:130067, Jun 2013. URL: https://doi.org/10.1098/rsob.130067, doi:10.1098/rsob.130067. This article has 37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