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TNK2, also known as ACK1, is a non-receptor tyrosine kinase (NRTK) that belongs to the Ack family within the Tyrosine Kinase (TK) group, as classified by Manning et al., 2002 (eshaq2024nonreceptortyrosinekinases pages 2-4, prietoechague2011regulationofackfamily pages 1-2, momeny2023domainarchitectureof pages 28-29). The Ack family also includes TNK1 and Mig-6 (fox2019thenonreceptortyrosine pages 1-4). Phylogenetic analysis shows a close evolutionary relationship between human ACK1 and mouse Ack1, as well as between human ACK1 and bovine Ack2 (momeny2023domainarchitectureof pages 3-5). Orthologs and homologs are found in various species, including</w:t>
      </w:r>
      <w:r>
        <w:t xml:space="preserve"> </w:t>
      </w:r>
      <w:r>
        <w:rPr>
          <w:i/>
          <w:iCs/>
        </w:rPr>
        <w:t xml:space="preserve">Mus musculus</w:t>
      </w:r>
      <w:r>
        <w:t xml:space="preserve"> </w:t>
      </w:r>
      <w:r>
        <w:t xml:space="preserve">(Ack1/Pyk1, Kos1),</w:t>
      </w:r>
      <w:r>
        <w:t xml:space="preserve"> </w:t>
      </w:r>
      <w:r>
        <w:rPr>
          <w:i/>
          <w:iCs/>
        </w:rPr>
        <w:t xml:space="preserve">Bos taurus</w:t>
      </w:r>
      <w:r>
        <w:t xml:space="preserve"> </w:t>
      </w:r>
      <w:r>
        <w:t xml:space="preserve">(Ack2),</w:t>
      </w:r>
      <w:r>
        <w:t xml:space="preserve"> </w:t>
      </w:r>
      <w:r>
        <w:rPr>
          <w:i/>
          <w:iCs/>
        </w:rPr>
        <w:t xml:space="preserve">Drosophila melanogaster</w:t>
      </w:r>
      <w:r>
        <w:t xml:space="preserve"> </w:t>
      </w:r>
      <w:r>
        <w:t xml:space="preserve">(DACK, Ack-like), and</w:t>
      </w:r>
      <w:r>
        <w:t xml:space="preserve"> </w:t>
      </w:r>
      <w:r>
        <w:rPr>
          <w:i/>
          <w:iCs/>
        </w:rPr>
        <w:t xml:space="preserve">Caenorhabditis elegans</w:t>
      </w:r>
      <w:r>
        <w:t xml:space="preserve"> </w:t>
      </w:r>
      <w:r>
        <w:t xml:space="preserve">(ARK-1, sid-3) (fox2019thenonreceptortyrosine pages 1-4, momeny2023domainarchitectureof pages 1-3, momeny2023domainarchitectureof pages 3-5).</w:t>
      </w:r>
    </w:p>
    <w:bookmarkEnd w:id="9"/>
    <w:bookmarkStart w:id="10" w:name="reaction-catalyzed"/>
    <w:p>
      <w:pPr>
        <w:pStyle w:val="Heading2"/>
      </w:pPr>
      <w:r>
        <w:t xml:space="preserve">Reaction Catalyzed</w:t>
      </w:r>
    </w:p>
    <w:p>
      <w:pPr>
        <w:pStyle w:val="FirstParagraph"/>
      </w:pPr>
      <w:r>
        <w:t xml:space="preserve">TNK2 is a tyrosine kinase that catalyzes the transfer of the gamma-phosphate group from ATP to tyrosine residues on substrate proteins (ahmed2022thenoncatalyticregions pages 9-10, eshaq2024nonreceptortyrosinekinases pages 21-23, momeny2023domainarchitectureof pages 9-11).</w:t>
      </w:r>
    </w:p>
    <w:bookmarkEnd w:id="10"/>
    <w:bookmarkStart w:id="11" w:name="cofactor-requirements"/>
    <w:p>
      <w:pPr>
        <w:pStyle w:val="Heading2"/>
      </w:pPr>
      <w:r>
        <w:t xml:space="preserve">Cofactor Requirements</w:t>
      </w:r>
    </w:p>
    <w:p>
      <w:pPr>
        <w:pStyle w:val="FirstParagraph"/>
      </w:pPr>
      <w:r>
        <w:t xml:space="preserve">The catalytic kinase activity of TNK2 requires the presence of divalent metal ions, specifically Mg2+, as a cofactor (ahmed2022thenoncatalyticregions pages 9-10, eshaq2024nonreceptortyrosinekinases pages 2-4, kumar2023identificationofactivated pages 17-19, momeny2023domainarchitectureof pages 9-11).</w:t>
      </w:r>
    </w:p>
    <w:bookmarkEnd w:id="11"/>
    <w:bookmarkStart w:id="12" w:name="substrate-specificity"/>
    <w:p>
      <w:pPr>
        <w:pStyle w:val="Heading2"/>
      </w:pPr>
      <w:r>
        <w:t xml:space="preserve">Substrate Specificity</w:t>
      </w:r>
    </w:p>
    <w:p>
      <w:pPr>
        <w:pStyle w:val="FirstParagraph"/>
      </w:pPr>
      <w:r>
        <w:t xml:space="preserve">The substrate specificity of TNK2 is characterized by a consensus phosphorylation motif with dual hydroxyamino acid specificity (ahmed2022thenoncatalyticregions pages 9-10). Analysis of the intrinsic substrate specificity by Yaron-Barir et al. (2024) provides contradictory preferences for the amino acids surrounding the phosphorylated tyrosine. One analysis indicates that TNK2 (ACK1) favors negatively charged residues (aspartate D and glutamate E) at the P-3, P-2, and P-1 upstream positions, while downstream positions (P+1 to P+3) show a preference for polar or uncharged residues (yaronbarir2024theintrinsicsubstrate pages 15-16). In contrast, other analyses from the same study report that ACK family kinases uniquely favor basic residues, such as lysine (K) and arginine (R), at the P-1 position (yaronbarir2024theintrinsicsubstrate pages 3-4, yaronbarir2024theintrinsicsubstrate pages 3-4). This is consistent with data suggesting a general preference for positively charged residues at key upstream positions (yaronbarir2024theintrinsicsubstrate pages 2-3, yaronbarir2024theintrinsicsubstrate pages 2-3). A third analysis suggests a phosphopriming-dependent specificity, where the P-1 position favors phosphorylated tyrosine or phosphothreonine, positions P+1 and P+2 prefer phosphorylated residues or acidic amino acids, and P+3 favors hydrophobic or neutral residues (yaronbarir2024theintrinsicsubstrate pages 16-17).</w:t>
      </w:r>
    </w:p>
    <w:bookmarkEnd w:id="12"/>
    <w:bookmarkStart w:id="13" w:name="structure"/>
    <w:p>
      <w:pPr>
        <w:pStyle w:val="Heading2"/>
      </w:pPr>
      <w:r>
        <w:t xml:space="preserve">Structure</w:t>
      </w:r>
    </w:p>
    <w:p>
      <w:pPr>
        <w:pStyle w:val="FirstParagraph"/>
      </w:pPr>
      <w:r>
        <w:t xml:space="preserve">TNK2 is a 1038 amino acid multidomain protein (mahajan2015ack1tnk2tyrosinekinase pages 1-2, fox2019thenonreceptortyrosine pages 1-4). Its domain architecture includes an N-terminal sterile alpha motif (SAM) domain, a kinase domain (KD), a Src homology 3 (SH3) domain, a Cdc42/Rac-interactive binding (CRIB) domain, a clathrin-binding motif, a proline-rich region, a Mig6 homology region (MHR) or EGFR-binding domain (EBD), and a C-terminal ubiquitin association (UBA) domain (eshaq2024nonreceptortyrosinekinases pages 2-4, mahajan2015ack1tnk2tyrosinekinase pages 1-2, fox2019thenonreceptortyrosine pages 1-4). TNK2 is unique among NRTKs for having its SH3 domain positioned C-terminally to the kinase domain (mahajan2015ack1tnk2tyrosinekinase pages 1-2, unknownauthors2020discoveryofa pages 8-13). The SAM domain mediates symmetric head-to-head dimerization, which increases catalytic activity, as well as membrane localization (momeny2023domainarchitectureof pages 3-5, momeny2023domainarchitectureof pages 9-11). The CRIB domain mediates interaction with the small GTPase CDC42 (momeny2023domainarchitectureof pages 1-3). The UBA domain, a rare feature among human tyrosine kinases, interacts non-covalently with poly-ubiquitin chains (unknownauthors2020discoveryofa pages 13-17, unknownauthors2020discoveryofa pages 44-48).</w:t>
      </w:r>
    </w:p>
    <w:p>
      <w:pPr>
        <w:pStyle w:val="BodyText"/>
      </w:pPr>
      <w:r>
        <w:t xml:space="preserve">Crystal structures (PDB IDs 1U4D, 1U46, 1U54) reveal a kinase domain structurally similar to that of EGFR (momeny2023domainarchitectureof pages 3-5, fox2019thenonreceptortyrosine pages 1-4). The kinase domain contains conserved catalytic elements, including a DFG motif that coordinates Mg2+ and participates in ATP binding, and hydrophobic regulatory (R-spine) and catalytic (C-spine) spines critical for activity (momeny2023domainarchitectureof pages 14-16, kumar2023identificationofactivated pages 17-19). Key catalytic residues include gatekeeper T205, hinge region A208, and DFG motif residue D270 (kumar2023identificationofactivated pages 17-19). Unlike many kinases, the activation loop of TNK2 can maintain an active-like conformation even when unphosphorylated due to a conserved hydrophobic methionine (M274) and stabilizing hydrogen bonds (momeny2023domainarchitectureof pages 14-16, momeny2023domainarchitectureof pages 3-5). The active state involves the inward movement of the αC helix, forming a salt bridge between E177 and K158 (momeny2023domainarchitectureof pages 14-16).</w:t>
      </w:r>
    </w:p>
    <w:bookmarkEnd w:id="13"/>
    <w:bookmarkStart w:id="14" w:name="regulation"/>
    <w:p>
      <w:pPr>
        <w:pStyle w:val="Heading2"/>
      </w:pPr>
      <w:r>
        <w:t xml:space="preserve">Regulation</w:t>
      </w:r>
    </w:p>
    <w:p>
      <w:pPr>
        <w:pStyle w:val="FirstParagraph"/>
      </w:pPr>
      <w:r>
        <w:t xml:space="preserve">TNK2 activity is regulated by post-translational modifications, allosteric interactions, and intramolecular autoinhibition (ahmed2022thenoncatalyticregions pages 9-10, fox2019thenonreceptortyrosine pages 4-6). Phosphorylation at Tyr-284 in the activation loop is a key regulatory event that enhances kinase activity (ahmed2022thenoncatalyticregions pages 9-10, fox2019thenonreceptortyrosine pages 1-4). This phosphorylation can occur via autophosphorylation or transphosphorylation by upstream kinases, including Src family kinases and receptor tyrosine kinases (RTKs) like EGFR (eshaq2024nonreceptortyrosinekinases pages 2-4, fox2019thenonreceptortyrosine pages 4-6, momeny2023domainarchitectureof pages 28-29). However, some reports indicate that phosphorylation of the activation loop has little to modest effect on activity (momeny2023domainarchitectureof pages 3-5, fox2019thenonreceptortyrosine pages 1-4).</w:t>
      </w:r>
    </w:p>
    <w:p>
      <w:pPr>
        <w:pStyle w:val="BodyText"/>
      </w:pPr>
      <w:r>
        <w:t xml:space="preserve">Allosteric regulation is mediated by the binding of the small GTPase CDC42 to the CRIB domain (ahmed2022thenoncatalyticregions pages 9-10, eshaq2024nonreceptortyrosinekinases pages 21-23). Dimerization via the N-terminal SAM domain is a key mode of activation, substantially increasing catalytic activity (momeny2023domainarchitectureof pages 3-5, fox2019thenonreceptortyrosine pages 4-6). TNK2 is maintained in a state of basal autoinhibition through intramolecular interactions involving the SH3 domain binding to a proline-rich region, as well as through the MHR domain (fox2019thenonreceptortyrosine pages 4-6, unknownauthors2020discoveryofa pages 8-13, momeny2023domainarchitectureof pages 26-28). This autoinhibition is relieved upon activation by upstream RTKs, such as EGFR, which bind to the MHR (eshaq2024nonreceptortyrosinekinases pages 4-5, mahajan2015ack1tnk2tyrosinekinase pages 1-2).</w:t>
      </w:r>
    </w:p>
    <w:bookmarkEnd w:id="14"/>
    <w:bookmarkStart w:id="15" w:name="function"/>
    <w:p>
      <w:pPr>
        <w:pStyle w:val="Heading2"/>
      </w:pPr>
      <w:r>
        <w:t xml:space="preserve">Function</w:t>
      </w:r>
    </w:p>
    <w:p>
      <w:pPr>
        <w:pStyle w:val="FirstParagraph"/>
      </w:pPr>
      <w:r>
        <w:t xml:space="preserve">TNK2 is expressed in various tissues, with particularly high levels in the brain (ahmed2022thenoncatalyticregions pages 9-10, momeny2023domainarchitectureof pages 3-5, mahajan2015ack1tnk2tyrosinekinase pages 1-2). It functions as a signaling hub downstream of multiple upstream receptors, including RTKs (EGFR, PDGFR, Insulin Receptor, Axl, Mer), G-protein coupled receptors (GPCRs), and integrins (fox2019thenonreceptortyrosine pages 1-4, hodder2023acknowledgingtherole pages 1-3).</w:t>
      </w:r>
    </w:p>
    <w:p>
      <w:pPr>
        <w:pStyle w:val="BodyText"/>
      </w:pPr>
      <w:r>
        <w:t xml:space="preserve">Upon activation, TNK2 phosphorylates a range of downstream substrates, linking it to multiple signaling pathways involved in cell survival, proliferation, migration, and DNA repair (ahmed2022thenoncatalyticregions pages 9-10, fox2019thenonreceptortyrosine pages 4-6). Key substrates include AKT1 (phosphorylated on Tyr-176), the androgen receptor (AR, phosphorylated on Tyr-267 and Tyr-363), WWOX (phosphorylated on Tyr-287), Wiskott–Aldrich syndrome protein (WASP), p130Cas, and the immune adaptor protein SLP-76 (at Y113, Y128, Y145) (eshaq2024nonreceptortyrosinekinases pages 4-5, fox2019thenonreceptortyrosine pages 4-6, momeny2023domainarchitectureof pages 5-7). TNK2 also regulates EGFR trafficking and degradation (unknownauthors2020discoveryofa pages 8-13). It shuttles between the cytosol and nucleus and can modulate gene expression epigenetically by phosphorylating histone H4 (on Tyr-88) and the histone demethylase KDM3A (fox2019thenonreceptortyrosine pages 4-6, mahajan2015ack1tnk2tyrosinekinase pages 1-2).</w:t>
      </w:r>
    </w:p>
    <w:bookmarkEnd w:id="15"/>
    <w:bookmarkStart w:id="16" w:name="inhibitors"/>
    <w:p>
      <w:pPr>
        <w:pStyle w:val="Heading2"/>
      </w:pPr>
      <w:r>
        <w:t xml:space="preserve">Inhibitors</w:t>
      </w:r>
    </w:p>
    <w:p>
      <w:pPr>
        <w:pStyle w:val="FirstParagraph"/>
      </w:pPr>
      <w:r>
        <w:t xml:space="preserve">Experimental small-molecule inhibitors targeting the TNK2 kinase domain have been described (ahmed2022thenoncatalyticregions pages 9-10). These include (R)-9b, a piperazine-substituted chloropyrimidine, which has an in vitro IC50 of 56 nM (momeny2023domainarchitectureof pages 9-11). The multi-kinase inhibitor dasatinib also inhibits TNK2 with an IC50 of approximately 1 nM (momeny2023domainarchitectureof pages 9-11).</w:t>
      </w:r>
    </w:p>
    <w:bookmarkEnd w:id="16"/>
    <w:bookmarkStart w:id="17" w:name="other-comments"/>
    <w:p>
      <w:pPr>
        <w:pStyle w:val="Heading2"/>
      </w:pPr>
      <w:r>
        <w:t xml:space="preserve">Other Comments</w:t>
      </w:r>
    </w:p>
    <w:p>
      <w:pPr>
        <w:pStyle w:val="FirstParagraph"/>
      </w:pPr>
      <w:r>
        <w:t xml:space="preserve">TNK2 is implicated as an oncogene in the progression of numerous cancers, including pancreatic, prostate, breast, ovarian, lung, gastric, renal, and hepatocellular carcinomas, as well as Hodgkin lymphoma (ahmed2022thenoncatalyticregions pages 9-10, eshaq2024nonreceptortyrosinekinases pages 21-23, hodder2023acknowledgingtherole pages 1-3). Its hyperactivity in tumors is often due to gene amplification, protein overexpression, or somatic activating mutations, which correlate with poor patient prognosis (fox2019thenonreceptortyrosine pages 1-4, hodder2023acknowledgingtherole pages 1-3). Reported activating mutations include E346K in the kinase domain and M409I in the SH3 domain, both of which disrupt autoinhibitory interactions (unknownauthors2020discoveryofa pages 8-13). Mutations in the UBA domain, such as S985N, can increase protein stability and enhance cancer cell proliferation (unknownauthors2020discoveryofa pages 13-17). TNK2 hyperactivity has also been linked to resistance to therapies such as EGFR inhibitors and tamoxifen (eshaq2024nonreceptortyrosinekinases pages 21-23, fox2019thenonreceptortyrosine pages 4-6). Additionally, mutations in TNK2 have been associated with autosomal recessive infantile-onset epilepsy (momeny2023domainarchitectureof pages 26-28).</w:t>
      </w:r>
    </w:p>
    <w:p>
      <w:pPr>
        <w:pStyle w:val="BodyText"/>
      </w:pPr>
      <w:r>
        <w:t xml:space="preserve">References</w:t>
      </w:r>
    </w:p>
    <w:p>
      <w:pPr>
        <w:numPr>
          <w:ilvl w:val="0"/>
          <w:numId w:val="1001"/>
        </w:numPr>
      </w:pPr>
      <w:r>
        <w:t xml:space="preserve">(ahmed2022thenoncatalyticregions pages 9-10): Sultan Ahmed and W. Miller. The noncatalytic regions of the tyrosine kinase tnk1 are important for activity and substrate specificity. The Journal of Biological Chemistry, Nov 2022. URL: https://doi.org/10.1016/j.jbc.2022.102664, doi:10.1016/j.jbc.2022.102664. This article has 5 citations.</w:t>
      </w:r>
    </w:p>
    <w:p>
      <w:pPr>
        <w:numPr>
          <w:ilvl w:val="0"/>
          <w:numId w:val="1001"/>
        </w:numPr>
      </w:pPr>
      <w:r>
        <w:t xml:space="preserve">(eshaq2024nonreceptortyrosinekinases pages 2-4): Abdulaziz M. Eshaq, Thomas W Flanagan, Sofie Y. Hassan, Sara A. Al Asheikh, Waleed A. Al-Amoudi, S. Santourlidis, Sarah-Lilly Hassan, Maryam O Alamodi, M. Bendhack, M. Alamodi, Youssef Haikel, Mossad Megahed, and Mohamed Hassan. Non-receptor tyrosine kinases: their structure and mechanistic role in tumor progression and resistance. Cancers, Aug 2024. URL: https://doi.org/10.3390/cancers16152754, doi:10.3390/cancers16152754. This article has 6 citations and is from a peer-reviewed journal.</w:t>
      </w:r>
    </w:p>
    <w:p>
      <w:pPr>
        <w:numPr>
          <w:ilvl w:val="0"/>
          <w:numId w:val="1001"/>
        </w:numPr>
      </w:pPr>
      <w:r>
        <w:t xml:space="preserve">(eshaq2024nonreceptortyrosinekinases pages 21-23): Abdulaziz M. Eshaq, Thomas W Flanagan, Sofie Y. Hassan, Sara A. Al Asheikh, Waleed A. Al-Amoudi, S. Santourlidis, Sarah-Lilly Hassan, Maryam O Alamodi, M. Bendhack, M. Alamodi, Youssef Haikel, Mossad Megahed, and Mohamed Hassan. Non-receptor tyrosine kinases: their structure and mechanistic role in tumor progression and resistance. Cancers, Aug 2024. URL: https://doi.org/10.3390/cancers16152754, doi:10.3390/cancers16152754. This article has 6 citations and is from a peer-reviewed journal.</w:t>
      </w:r>
    </w:p>
    <w:p>
      <w:pPr>
        <w:numPr>
          <w:ilvl w:val="0"/>
          <w:numId w:val="1001"/>
        </w:numPr>
      </w:pPr>
      <w:r>
        <w:t xml:space="preserve">(eshaq2024nonreceptortyrosinekinases pages 4-5): Abdulaziz M. Eshaq, Thomas W Flanagan, Sofie Y. Hassan, Sara A. Al Asheikh, Waleed A. Al-Amoudi, S. Santourlidis, Sarah-Lilly Hassan, Maryam O Alamodi, M. Bendhack, M. Alamodi, Youssef Haikel, Mossad Megahed, and Mohamed Hassan. Non-receptor tyrosine kinases: their structure and mechanistic role in tumor progression and resistance. Cancers, Aug 2024. URL: https://doi.org/10.3390/cancers16152754, doi:10.3390/cancers16152754. This article has 6 citations and is from a peer-reviewed journal.</w:t>
      </w:r>
    </w:p>
    <w:p>
      <w:pPr>
        <w:numPr>
          <w:ilvl w:val="0"/>
          <w:numId w:val="1001"/>
        </w:numPr>
      </w:pPr>
      <w:r>
        <w:t xml:space="preserve">(fox2019thenonreceptortyrosine pages 1-4): Millie Fox, C. Crafter, and D. Owen. The non-receptor tyrosine kinase ack: regulatory mechanisms, signalling pathways and opportunities for attacking cancer. Biochemical Society transactions, Dec 2019. URL: https://doi.org/10.1042/bst20190176, doi:10.1042/bst20190176. This article has 26 citations and is from a peer-reviewed journal.</w:t>
      </w:r>
    </w:p>
    <w:p>
      <w:pPr>
        <w:numPr>
          <w:ilvl w:val="0"/>
          <w:numId w:val="1001"/>
        </w:numPr>
      </w:pPr>
      <w:r>
        <w:t xml:space="preserve">(fox2019thenonreceptortyrosine pages 4-6): Millie Fox, C. Crafter, and D. Owen. The non-receptor tyrosine kinase ack: regulatory mechanisms, signalling pathways and opportunities for attacking cancer. Biochemical Society transactions, Dec 2019. URL: https://doi.org/10.1042/bst20190176, doi:10.1042/bst20190176. This article has 26 citations and is from a peer-reviewed journal.</w:t>
      </w:r>
    </w:p>
    <w:p>
      <w:pPr>
        <w:numPr>
          <w:ilvl w:val="0"/>
          <w:numId w:val="1001"/>
        </w:numPr>
      </w:pPr>
      <w:r>
        <w:t xml:space="preserve">(hodder2023acknowledgingtherole pages 1-3): Samantha L. Hodder, Millie Fox, Ana Masara Binti Ahmad Mokhtar, H. Mott, and D. Owen. Acknowledging the role of the activated-cdc42 associated kinase (ack) in regulating protein stability in cancer. Small GTPases, 14:14-25, May 2023. URL: https://doi.org/10.1080/21541248.2023.2212573, doi:10.1080/21541248.2023.2212573. This article has 2 citations and is from a peer-reviewed journal.</w:t>
      </w:r>
    </w:p>
    <w:p>
      <w:pPr>
        <w:numPr>
          <w:ilvl w:val="0"/>
          <w:numId w:val="1001"/>
        </w:numPr>
      </w:pPr>
      <w:r>
        <w:t xml:space="preserve">(kumar2023identificationofactivated pages 17-19): Prof Vikas Kumar, Raj Kumar, S. Parate, Danishuddin, Gihwan Lee, Moonhyuk Kwon, Seonghee Jeong, H. Ro, Keun Woo Lee, and Seon-Won Kim. Identification of activated cdc42-associated kinase inhibitors as potential anticancer agents using pharmacoinformatic approaches. Biomolecules, Jan 2023. URL: https://doi.org/10.3390/biom13020217, doi:10.3390/biom13020217. This article has 6 citations and is from a peer-reviewed journal.</w:t>
      </w:r>
    </w:p>
    <w:p>
      <w:pPr>
        <w:numPr>
          <w:ilvl w:val="0"/>
          <w:numId w:val="1001"/>
        </w:numPr>
      </w:pPr>
      <w:r>
        <w:t xml:space="preserve">(mahajan2015ack1tnk2tyrosinekinase pages 1-2): K. Mahajan and N. Mahajan. Ack1/tnk2 tyrosine kinase: molecular signaling and evolving role in cancers. Oncogene, 34:4162-4167, Oct 2015. URL: https://doi.org/10.1038/onc.2014.350, doi:10.1038/onc.2014.350. This article has 144 citations and is from a domain leading peer-reviewed journal.</w:t>
      </w:r>
    </w:p>
    <w:p>
      <w:pPr>
        <w:numPr>
          <w:ilvl w:val="0"/>
          <w:numId w:val="1001"/>
        </w:numPr>
      </w:pPr>
      <w:r>
        <w:t xml:space="preserve">(momeny2023domainarchitectureof pages 1-3): M. Momeny, Avisek Majumder, Yagmur Kan, YiTing Paung, M. Seeliger, and W. Miller. Domain architecture of the nonreceptor tyrosine kinase ack1. Cells, 12:900, Mar 2023. URL: https://doi.org/10.3390/cells12060900, doi:10.3390/cells12060900. This article has 5 citations and is from a peer-reviewed journal.</w:t>
      </w:r>
    </w:p>
    <w:p>
      <w:pPr>
        <w:numPr>
          <w:ilvl w:val="0"/>
          <w:numId w:val="1001"/>
        </w:numPr>
      </w:pPr>
      <w:r>
        <w:t xml:space="preserve">(momeny2023domainarchitectureof pages 14-16): M. Momeny, Avisek Majumder, Yagmur Kan, YiTing Paung, M. Seeliger, and W. Miller. Domain architecture of the nonreceptor tyrosine kinase ack1. Cells, 12:900, Mar 2023. URL: https://doi.org/10.3390/cells12060900, doi:10.3390/cells12060900. This article has 5 citations and is from a peer-reviewed journal.</w:t>
      </w:r>
    </w:p>
    <w:p>
      <w:pPr>
        <w:numPr>
          <w:ilvl w:val="0"/>
          <w:numId w:val="1001"/>
        </w:numPr>
      </w:pPr>
      <w:r>
        <w:t xml:space="preserve">(momeny2023domainarchitectureof pages 26-28): M. Momeny, Avisek Majumder, Yagmur Kan, YiTing Paung, M. Seeliger, and W. Miller. Domain architecture of the nonreceptor tyrosine kinase ack1. Cells, 12:900, Mar 2023. URL: https://doi.org/10.3390/cells12060900, doi:10.3390/cells12060900. This article has 5 citations and is from a peer-reviewed journal.</w:t>
      </w:r>
    </w:p>
    <w:p>
      <w:pPr>
        <w:numPr>
          <w:ilvl w:val="0"/>
          <w:numId w:val="1001"/>
        </w:numPr>
      </w:pPr>
      <w:r>
        <w:t xml:space="preserve">(momeny2023domainarchitectureof pages 28-29): M. Momeny, Avisek Majumder, Yagmur Kan, YiTing Paung, M. Seeliger, and W. Miller. Domain architecture of the nonreceptor tyrosine kinase ack1. Cells, 12:900, Mar 2023. URL: https://doi.org/10.3390/cells12060900, doi:10.3390/cells12060900. This article has 5 citations and is from a peer-reviewed journal.</w:t>
      </w:r>
    </w:p>
    <w:p>
      <w:pPr>
        <w:numPr>
          <w:ilvl w:val="0"/>
          <w:numId w:val="1001"/>
        </w:numPr>
      </w:pPr>
      <w:r>
        <w:t xml:space="preserve">(momeny2023domainarchitectureof pages 3-5): M. Momeny, Avisek Majumder, Yagmur Kan, YiTing Paung, M. Seeliger, and W. Miller. Domain architecture of the nonreceptor tyrosine kinase ack1. Cells, 12:900, Mar 2023. URL: https://doi.org/10.3390/cells12060900, doi:10.3390/cells12060900. This article has 5 citations and is from a peer-reviewed journal.</w:t>
      </w:r>
    </w:p>
    <w:p>
      <w:pPr>
        <w:numPr>
          <w:ilvl w:val="0"/>
          <w:numId w:val="1001"/>
        </w:numPr>
      </w:pPr>
      <w:r>
        <w:t xml:space="preserve">(momeny2023domainarchitectureof pages 9-11): M. Momeny, Avisek Majumder, Yagmur Kan, YiTing Paung, M. Seeliger, and W. Miller. Domain architecture of the nonreceptor tyrosine kinase ack1. Cells, 12:900, Mar 2023. URL: https://doi.org/10.3390/cells12060900, doi:10.3390/cells12060900. This article has 5 citations and is from a peer-reviewed journal.</w:t>
      </w:r>
    </w:p>
    <w:p>
      <w:pPr>
        <w:numPr>
          <w:ilvl w:val="0"/>
          <w:numId w:val="1001"/>
        </w:numPr>
      </w:pPr>
      <w:r>
        <w:t xml:space="preserve">(prietoechague2011regulationofackfamily pages 1-2): Victoria Prieto-Echagüe and W. Todd Miller. Regulation of ack-family nonreceptor tyrosine kinases. Journal of Signal Transduction, 2011:1-9, Feb 2011. URL: https://doi.org/10.1155/2011/742372, doi:10.1155/2011/742372. This article has 72 citations.</w:t>
      </w:r>
    </w:p>
    <w:p>
      <w:pPr>
        <w:numPr>
          <w:ilvl w:val="0"/>
          <w:numId w:val="1001"/>
        </w:numPr>
      </w:pPr>
      <w:r>
        <w:t xml:space="preserve">(unknownauthors2020discoveryofa pages 13-17): Discovery of a Novel Regulatory Mechanism of TNK1 by 14-3-3 and Its Ubiquitin Association Domain Provides a Potential Therapeutic Targeting Opportunity in …</w:t>
      </w:r>
    </w:p>
    <w:p>
      <w:pPr>
        <w:numPr>
          <w:ilvl w:val="0"/>
          <w:numId w:val="1001"/>
        </w:numPr>
      </w:pPr>
      <w:r>
        <w:t xml:space="preserve">(unknownauthors2020discoveryofa pages 8-13): Discovery of a Novel Regulatory Mechanism of TNK1 by 14-3-3 and Its Ubiquitin Association Domain Provides a Potential Therapeutic Targeting Opportunity in …</w:t>
      </w:r>
    </w:p>
    <w:p>
      <w:pPr>
        <w:numPr>
          <w:ilvl w:val="0"/>
          <w:numId w:val="1001"/>
        </w:numPr>
      </w:pPr>
      <w:r>
        <w:t xml:space="preserve">(yaronbarir2024theintrinsicsubstrate pages 15-16):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(momeny2023domainarchitectureof pages 5-7): M. Momeny, Avisek Majumder, Yagmur Kan, YiTing Paung, M. Seeliger, and W. Miller. Domain architecture of the nonreceptor tyrosine kinase ack1. Cells, 12:900, Mar 2023. URL: https://doi.org/10.3390/cells12060900, doi:10.3390/cells12060900. This article has 5 citations and is from a peer-reviewed journal.</w:t>
      </w:r>
    </w:p>
    <w:p>
      <w:pPr>
        <w:numPr>
          <w:ilvl w:val="0"/>
          <w:numId w:val="1001"/>
        </w:numPr>
      </w:pPr>
      <w:r>
        <w:t xml:space="preserve">(unknownauthors2020discoveryofa pages 44-48): Discovery of a Novel Regulatory Mechanism of TNK1 by 14-3-3 and Its Ubiquitin Association Domain Provides a Potential Therapeutic Targeting Opportunity in …</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3-4):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