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CAMK2G is a member of the Ca2+/calmodulin-dependent protein kinase II (CaMKII) family, which is part of the CAMK kinase group within the Ser/Thr protein kinase class of the human kinome (ma2015distinctrolesof pages 2-3, mohanan2022roleofca2+calmodulindependent pages 20-21, onori2018theintellectualdisabilityassociated pages 1-5). This classification is consistent with analyses by Manning et al., 2002 (ma2015distinctrolesof pages 2-3, onori2018theintellectualdisabilityassociated pages 29-33). CAMK2G shares sequence homology in critical residues with its paralogs CAMK2A and CAMK2B (onori2018theintellectualdisabilityassociated pages 47-49). Orthologs of CAMK2G are well-established and conserved in common model organisms, including mouse and rat (coultrap2011improvinganatural pages 9-9, onori2018theintellectualdisabilityassociated pages 1-5, mohanan2022roleofca2+calmodulindependent pages 29-30).</w:t>
      </w:r>
    </w:p>
    <w:bookmarkEnd w:id="9"/>
    <w:bookmarkStart w:id="10" w:name="reaction-catalyzed"/>
    <w:p>
      <w:pPr>
        <w:pStyle w:val="Heading2"/>
      </w:pPr>
      <w:r>
        <w:t xml:space="preserve">Reaction Catalyzed</w:t>
      </w:r>
    </w:p>
    <w:p>
      <w:pPr>
        <w:pStyle w:val="FirstParagraph"/>
      </w:pPr>
      <w:r>
        <w:t xml:space="preserve">The enzyme catalyzes a phosphotransferase reaction, transferring the terminal (gamma) phosphate group from an ATP molecule to the hydroxyl group of serine or threonine residues on substrate proteins (ma2015distinctrolesof pages 2-3, mohanan2022roleofca2+calmodulindependent pages 20-21, beghi2020genepolymorphismsin pages 11-12).</w:t>
      </w:r>
    </w:p>
    <w:bookmarkEnd w:id="10"/>
    <w:bookmarkStart w:id="11" w:name="cofactor-requirements"/>
    <w:p>
      <w:pPr>
        <w:pStyle w:val="Heading2"/>
      </w:pPr>
      <w:r>
        <w:t xml:space="preserve">Cofactor Requirements</w:t>
      </w:r>
    </w:p>
    <w:p>
      <w:pPr>
        <w:pStyle w:val="FirstParagraph"/>
      </w:pPr>
      <w:r>
        <w:t xml:space="preserve">Catalytic activity requires the binding of Ca2+ ions via the calmodulin (CaM) protein, which acts as a cofactor for activation (ma2015distinctrolesof pages 2-3, mohanan2022roleofca2+calmodulindependent pages 20-21). The phosphotransferase reaction also requires Mg2+ as an essential metal ion cofactor (onori2018theintellectualdisabilityassociated pages 25-29, kool2019camk2dependentsignalingin pages 16-16).</w:t>
      </w:r>
    </w:p>
    <w:bookmarkEnd w:id="11"/>
    <w:bookmarkStart w:id="12" w:name="substrate-specificity"/>
    <w:p>
      <w:pPr>
        <w:pStyle w:val="Heading2"/>
      </w:pPr>
      <w:r>
        <w:t xml:space="preserve">Substrate Specificity</w:t>
      </w:r>
    </w:p>
    <w:p>
      <w:pPr>
        <w:pStyle w:val="FirstParagraph"/>
      </w:pPr>
      <w:r>
        <w:t xml:space="preserve">The substrate specificity of CAMK2G favors a consensus motif enriched in basic residues surrounding the phospho-acceptor serine or threonine residue (coultrap2011improvinganatural pages 9-9). This includes the recognition of sequences with arginine or lysine residues at specific positions (ma2015distinctrolesof pages 2-3, coultrap2011improvinganatural pages 9-9). Based on comprehensive kinase substrate specificity mapping, the consensus motif is characterized as [R-X-X-S/T], with a preference for a positively charged arginine residue at the -3 position relative to the phosphorylation site (onori2018theintellectualdisabilityassociated pages 39-47, mohanan2022roleofca2+calmodulindependent pages 29-30).</w:t>
      </w:r>
    </w:p>
    <w:bookmarkEnd w:id="12"/>
    <w:bookmarkStart w:id="13" w:name="structure"/>
    <w:p>
      <w:pPr>
        <w:pStyle w:val="Heading2"/>
      </w:pPr>
      <w:r>
        <w:t xml:space="preserve">Structure</w:t>
      </w:r>
    </w:p>
    <w:p>
      <w:pPr>
        <w:pStyle w:val="FirstParagraph"/>
      </w:pPr>
      <w:r>
        <w:t xml:space="preserve">CAMK2G exhibits a multi-domain architecture typical of CaMKII isoforms, comprising an N-terminal catalytic kinase domain, a central regulatory segment, and a C-terminal association (hub) domain (ma2015distinctrolesof pages 2-3, mohanan2022roleofca2+calmodulindependent pages 20-21). The regulatory domain contains an autoinhibitory helix and the CaM-binding site, while the association domain facilitates the oligomerization of subunits into a dodecameric holoenzyme, which is essential for its function and is arranged as two stacked hexameric rings (ma2015distinctrolesof pages 2-3, onori2018theintellectualdisabilityassociated pages 17-21, beghi2020genepolymorphismsin pages 11-12).</w:t>
      </w:r>
    </w:p>
    <w:p>
      <w:pPr>
        <w:pStyle w:val="BodyText"/>
      </w:pPr>
      <w:r>
        <w:t xml:space="preserve">The kinase domain features critical structural elements for catalysis, including the activation loop and the C-helix (coultrap2011improvinganatural pages 9-9). Upon activation, the C-helix reorients to properly align catalytic residues and stabilize ATP binding, while the activation loop undergoes conformational changes driven by autophosphorylation (onori2018theintellectualdisabilityassociated pages 39-47, coultrap2011improvinganatural pages 9-9). These rearrangements switch the enzyme from an inactive to an active state, facilitating substrate binding and efficient phosphorylation (coultrap2011improvinganatural pages 9-9, rigter2023lossofcamk2g pages 14-14). A unique feature of a CAMK2G isoform is a nuclear localization sequence (NLS) near Ser334, which enables its translocation to the nucleus (ma2015distinctrolesof pages 2-3).</w:t>
      </w:r>
    </w:p>
    <w:bookmarkEnd w:id="13"/>
    <w:bookmarkStart w:id="14" w:name="regulation"/>
    <w:p>
      <w:pPr>
        <w:pStyle w:val="Heading2"/>
      </w:pPr>
      <w:r>
        <w:t xml:space="preserve">Regulation</w:t>
      </w:r>
    </w:p>
    <w:p>
      <w:pPr>
        <w:pStyle w:val="FirstParagraph"/>
      </w:pPr>
      <w:r>
        <w:t xml:space="preserve">In its basal state, CAMK2G is maintained in an inactive conformation by an autoinhibitory domain that blocks the catalytic site (onori2018theintellectualdisabilityassociated pages 25-29, onori2018theintellectualdisabilityassociated pages 17-21). Activation is initiated by the binding of a Ca2+/calmodulin (CaM) complex to the regulatory domain, which induces a conformational change that displaces the autoinhibitory segment and exposes the active site (ma2015distinctrolesof pages 2-3, onori2018theintellectualdisabilityassociated pages 21-25). This leads to trans-autophosphorylation at threonine 287 (Thr287), a key residue within the activation loop (ma2015distinctrolesof pages 2-3, onori2018theintellectualdisabilityassociated pages 39-47). Phosphorylation at Thr287 is critical as it confers sustained, Ca2+-independent autonomous kinase activity, allowing the enzyme to remain active even after intracellular Ca2+ levels have returned to baseline (ma2015distinctrolesof pages 2-3, mohanan2022roleofca2+calmodulindependent pages 20-21). This process also results in prolonged CaM trapping, which stabilizes the active conformation (ma2015distinctrolesof pages 2-3). Phosphorylation near Ser334 regulates the function of the nuclear localization sequence (ma2015distinctrolesof pages 2-3).</w:t>
      </w:r>
    </w:p>
    <w:bookmarkEnd w:id="14"/>
    <w:bookmarkStart w:id="15" w:name="function"/>
    <w:p>
      <w:pPr>
        <w:pStyle w:val="Heading2"/>
      </w:pPr>
      <w:r>
        <w:t xml:space="preserve">Function</w:t>
      </w:r>
    </w:p>
    <w:p>
      <w:pPr>
        <w:pStyle w:val="FirstParagraph"/>
      </w:pPr>
      <w:r>
        <w:t xml:space="preserve">CAMK2G is expressed in multiple tissues, including the brain, heart, smooth muscle, and liver (ma2015distinctrolesof pages 2-3). It is particularly enriched in neuronal tissues, where its expression is high during early neurodevelopment (onori2018theintellectualdisabilityassociated pages 1-5, ma2015distinctrolesof pages 2-3). Upstream activators include Ca2+ influx via L-type Ca2+ channels (CaV1) and NMDA receptors (ma2015distinctrolesof pages 2-3, mohanan2022roleofca2+calmodulindependent pages 20-21). CAMK2G phosphorylates downstream targets including transcription factors like CREB and STAT1 and interacts with proteins such as the Ryanodine receptor (ma2015distinctrolesof pages 2-3, onori2018theintellectualdisabilityassociated pages 29-33). It plays a critical role in glutamatergic synapse signaling, long-term potentiation (LTP), synaptic plasticity, and memory (ma2015distinctrolesof pages 2-3, mohanan2022roleofca2+calmodulindependent pages 20-21). It is also essential for neuronal migration, maturation, and dendritic arborization (onori2018theintellectualdisabilityassociated pages 1-5, onori2018theintellectualdisabilityassociated pages 25-29). In cancer, CAMK2G is a direct binding partner of the pseudokinase PEAK1 and is activated downstream of PLCγ1/Ca2+ signaling (yang2025activationofcamk2 pages 1-2).</w:t>
      </w:r>
    </w:p>
    <w:bookmarkEnd w:id="15"/>
    <w:bookmarkStart w:id="16" w:name="inhibitors"/>
    <w:p>
      <w:pPr>
        <w:pStyle w:val="Heading2"/>
      </w:pPr>
      <w:r>
        <w:t xml:space="preserve">Inhibitors</w:t>
      </w:r>
    </w:p>
    <w:p>
      <w:pPr>
        <w:pStyle w:val="FirstParagraph"/>
      </w:pPr>
      <w:r>
        <w:t xml:space="preserve">Several experimental inhibitors target CAMK2G and other CaMKII isoforms. These include synthetic small molecules like KN-93 and KN-62, which act by preventing CaM binding (ma2015distinctrolesof pages 2-3, mohanan2022roleofca2+calmodulindependent pages 20-21). Peptide-based inhibitors such as AIP and AC3-I, as well as natural protein inhibitors like the CaM-KIIN peptides (e.g., CN21, CN19), also modulate its activity (mohanan2022roleofca2+calmodulindependent pages 20-21). The second-generation inhibitor RA306 has also been used to target CAMK2 (yang2025activationofcamk2 pages 1-2).</w:t>
      </w:r>
    </w:p>
    <w:bookmarkEnd w:id="16"/>
    <w:bookmarkStart w:id="17" w:name="other-comments"/>
    <w:p>
      <w:pPr>
        <w:pStyle w:val="Heading2"/>
      </w:pPr>
      <w:r>
        <w:t xml:space="preserve">Other Comments</w:t>
      </w:r>
    </w:p>
    <w:p>
      <w:pPr>
        <w:pStyle w:val="FirstParagraph"/>
      </w:pPr>
      <w:r>
        <w:t xml:space="preserve">Mutations in the</w:t>
      </w:r>
      <w:r>
        <w:t xml:space="preserve"> </w:t>
      </w:r>
      <w:r>
        <w:rPr>
          <w:rStyle w:val="VerbatimChar"/>
        </w:rPr>
        <w:t xml:space="preserve">CAMK2G</w:t>
      </w:r>
      <w:r>
        <w:t xml:space="preserve"> </w:t>
      </w:r>
      <w:r>
        <w:t xml:space="preserve">gene have been linked to neurodevelopmental disorders, mental retardation, and unreliable memory performance in humans (ma2015distinctrolesof pages 2-3). A pathogenic de novo gain-of-function mutation, p.Arg292Pro, located in the autoregulatory domain, causes intellectual disability by inducing constitutive kinase activity (onori2018theintellectualdisabilityassociated pages 1-5, onori2018theintellectualdisabilityassociated pages 17-21). This mutation leads to increased basal phosphorylation at Thr287, enhanced CaM affinity, and severely impaired neuronal migration and maturation (onori2018theintellectualdisabilityassociated pages 1-5, onori2018theintellectualdisabilityassociated pages 21-25). Additionally, variants in CAMK2G have been identified in CAD-associated SNP clusters, suggesting a role in cardiovascular disease susceptibility (beghi2020genepolymorphismsin pages 11-12).</w:t>
      </w:r>
    </w:p>
    <w:p>
      <w:pPr>
        <w:pStyle w:val="BodyText"/>
      </w:pPr>
      <w:r>
        <w:t xml:space="preserve">References</w:t>
      </w:r>
    </w:p>
    <w:p>
      <w:pPr>
        <w:numPr>
          <w:ilvl w:val="0"/>
          <w:numId w:val="1001"/>
        </w:numPr>
      </w:pPr>
      <w:r>
        <w:t xml:space="preserve">(coultrap2011improvinganatural pages 9-9): S. Coultrap and K. Bayer. Improving a natural camkii inhibitor by random and rational design. PLoS ONE, Oct 2011. URL: https://doi.org/10.1371/journal.pone.0025245, doi:10.1371/journal.pone.0025245. This article has 55 citations and is from a peer-reviewed journal.</w:t>
      </w:r>
    </w:p>
    <w:p>
      <w:pPr>
        <w:numPr>
          <w:ilvl w:val="0"/>
          <w:numId w:val="1001"/>
        </w:numPr>
      </w:pPr>
      <w:r>
        <w:t xml:space="preserve">(ma2015distinctrolesof pages 2-3): Huan Ma, Boxing Li, and R. Tsien. Distinct roles of multiple isoforms of camkii in signaling to the nucleus. Biochimica et biophysica acta, 1853 9:1953-7, Sep 2015. URL: https://doi.org/10.1016/j.bbamcr.2015.02.008, doi:10.1016/j.bbamcr.2015.02.008. This article has 47 citations.</w:t>
      </w:r>
    </w:p>
    <w:p>
      <w:pPr>
        <w:numPr>
          <w:ilvl w:val="0"/>
          <w:numId w:val="1001"/>
        </w:numPr>
      </w:pPr>
      <w:r>
        <w:t xml:space="preserve">(mohanan2022roleofca2+calmodulindependent pages 20-21): Archana G. Mohanan, Sowmya Gunasekaran, Reena Sarah Jacob, and R. V. Omkumar. Role of ca2+/calmodulin-dependent protein kinase type ii in mediating function and dysfunction at glutamatergic synapses. Frontiers in Molecular Neuroscience, Jun 2022. URL: https://doi.org/10.3389/fnmol.2022.855752, doi:10.3389/fnmol.2022.855752. This article has 37 citations and is from a peer-reviewed journal.</w:t>
      </w:r>
    </w:p>
    <w:p>
      <w:pPr>
        <w:numPr>
          <w:ilvl w:val="0"/>
          <w:numId w:val="1001"/>
        </w:numPr>
      </w:pPr>
      <w:r>
        <w:t xml:space="preserve">(mohanan2022roleofca2+calmodulindependent pages 29-30): Archana G. Mohanan, Sowmya Gunasekaran, Reena Sarah Jacob, and R. V. Omkumar. Role of ca2+/calmodulin-dependent protein kinase type ii in mediating function and dysfunction at glutamatergic synapses. Frontiers in Molecular Neuroscience, Jun 2022. URL: https://doi.org/10.3389/fnmol.2022.855752, doi:10.3389/fnmol.2022.855752. This article has 37 citations and is from a peer-reviewed journal.</w:t>
      </w:r>
    </w:p>
    <w:p>
      <w:pPr>
        <w:numPr>
          <w:ilvl w:val="0"/>
          <w:numId w:val="1001"/>
        </w:numPr>
      </w:pPr>
      <w:r>
        <w:t xml:space="preserve">(onori2018theintellectualdisabilityassociated pages 1-5): Martina Proietti Onori, Balwina Koopal, David B. Everman, Jessica D. Worthington, Julie R. Jones, Melissa A. Ploeg, Edwin Mientjes, Bregje W. van Bon, Tjitske Kleefstra, Howard Schulman, Steven A. Kushner, Sébastien Küry, Ype Elgersma, and Geeske M. van Woerden. The intellectual disability-associated camk2g p.arg292pro mutation acts as a pathogenic gain-of-function. Human Mutation, 39:2008-2024, Sep 2018. URL: https://doi.org/10.1002/humu.23647, doi:10.1002/humu.23647. This article has 43 citations and is from a domain leading peer-reviewed journal.</w:t>
      </w:r>
    </w:p>
    <w:p>
      <w:pPr>
        <w:numPr>
          <w:ilvl w:val="0"/>
          <w:numId w:val="1001"/>
        </w:numPr>
      </w:pPr>
      <w:r>
        <w:t xml:space="preserve">(onori2018theintellectualdisabilityassociated pages 17-21): Martina Proietti Onori, Balwina Koopal, David B. Everman, Jessica D. Worthington, Julie R. Jones, Melissa A. Ploeg, Edwin Mientjes, Bregje W. van Bon, Tjitske Kleefstra, Howard Schulman, Steven A. Kushner, Sébastien Küry, Ype Elgersma, and Geeske M. van Woerden. The intellectual disability-associated camk2g p.arg292pro mutation acts as a pathogenic gain-of-function. Human Mutation, 39:2008-2024, Sep 2018. URL: https://doi.org/10.1002/humu.23647, doi:10.1002/humu.23647. This article has 43 citations and is from a domain leading peer-reviewed journal.</w:t>
      </w:r>
    </w:p>
    <w:p>
      <w:pPr>
        <w:numPr>
          <w:ilvl w:val="0"/>
          <w:numId w:val="1001"/>
        </w:numPr>
      </w:pPr>
      <w:r>
        <w:t xml:space="preserve">(onori2018theintellectualdisabilityassociated pages 21-25): Martina Proietti Onori, Balwina Koopal, David B. Everman, Jessica D. Worthington, Julie R. Jones, Melissa A. Ploeg, Edwin Mientjes, Bregje W. van Bon, Tjitske Kleefstra, Howard Schulman, Steven A. Kushner, Sébastien Küry, Ype Elgersma, and Geeske M. van Woerden. The intellectual disability-associated camk2g p.arg292pro mutation acts as a pathogenic gain-of-function. Human Mutation, 39:2008-2024, Sep 2018. URL: https://doi.org/10.1002/humu.23647, doi:10.1002/humu.23647. This article has 43 citations and is from a domain leading peer-reviewed journal.</w:t>
      </w:r>
    </w:p>
    <w:p>
      <w:pPr>
        <w:numPr>
          <w:ilvl w:val="0"/>
          <w:numId w:val="1001"/>
        </w:numPr>
      </w:pPr>
      <w:r>
        <w:t xml:space="preserve">(onori2018theintellectualdisabilityassociated pages 25-29): Martina Proietti Onori, Balwina Koopal, David B. Everman, Jessica D. Worthington, Julie R. Jones, Melissa A. Ploeg, Edwin Mientjes, Bregje W. van Bon, Tjitske Kleefstra, Howard Schulman, Steven A. Kushner, Sébastien Küry, Ype Elgersma, and Geeske M. van Woerden. The intellectual disability-associated camk2g p.arg292pro mutation acts as a pathogenic gain-of-function. Human Mutation, 39:2008-2024, Sep 2018. URL: https://doi.org/10.1002/humu.23647, doi:10.1002/humu.23647. This article has 43 citations and is from a domain leading peer-reviewed journal.</w:t>
      </w:r>
    </w:p>
    <w:p>
      <w:pPr>
        <w:numPr>
          <w:ilvl w:val="0"/>
          <w:numId w:val="1001"/>
        </w:numPr>
      </w:pPr>
      <w:r>
        <w:t xml:space="preserve">(onori2018theintellectualdisabilityassociated pages 29-33): Martina Proietti Onori, Balwina Koopal, David B. Everman, Jessica D. Worthington, Julie R. Jones, Melissa A. Ploeg, Edwin Mientjes, Bregje W. van Bon, Tjitske Kleefstra, Howard Schulman, Steven A. Kushner, Sébastien Küry, Ype Elgersma, and Geeske M. van Woerden. The intellectual disability-associated camk2g p.arg292pro mutation acts as a pathogenic gain-of-function. Human Mutation, 39:2008-2024, Sep 2018. URL: https://doi.org/10.1002/humu.23647, doi:10.1002/humu.23647. This article has 43 citations and is from a domain leading peer-reviewed journal.</w:t>
      </w:r>
    </w:p>
    <w:p>
      <w:pPr>
        <w:numPr>
          <w:ilvl w:val="0"/>
          <w:numId w:val="1001"/>
        </w:numPr>
      </w:pPr>
      <w:r>
        <w:t xml:space="preserve">(onori2018theintellectualdisabilityassociated pages 39-47): Martina Proietti Onori, Balwina Koopal, David B. Everman, Jessica D. Worthington, Julie R. Jones, Melissa A. Ploeg, Edwin Mientjes, Bregje W. van Bon, Tjitske Kleefstra, Howard Schulman, Steven A. Kushner, Sébastien Küry, Ype Elgersma, and Geeske M. van Woerden. The intellectual disability-associated camk2g p.arg292pro mutation acts as a pathogenic gain-of-function. Human Mutation, 39:2008-2024, Sep 2018. URL: https://doi.org/10.1002/humu.23647, doi:10.1002/humu.23647. This article has 43 citations and is from a domain leading peer-reviewed journal.</w:t>
      </w:r>
    </w:p>
    <w:p>
      <w:pPr>
        <w:numPr>
          <w:ilvl w:val="0"/>
          <w:numId w:val="1001"/>
        </w:numPr>
      </w:pPr>
      <w:r>
        <w:t xml:space="preserve">(beghi2020genepolymorphismsin pages 11-12): Sofia Beghi, Francesca Cavaliere, and Annamaria Buschini. Gene polymorphisms in calcium-calmodulin pathway: focus on cardiovascular disease. Mutation Research - Reviews in Mutation Research, 786:108325, Oct 2020. URL: https://doi.org/10.1016/j.mrrev.2020.108325, doi:10.1016/j.mrrev.2020.108325. This article has 13 citations.</w:t>
      </w:r>
    </w:p>
    <w:p>
      <w:pPr>
        <w:numPr>
          <w:ilvl w:val="0"/>
          <w:numId w:val="1001"/>
        </w:numPr>
      </w:pPr>
      <w:r>
        <w:t xml:space="preserve">(kool2019camk2dependentsignalingin pages 16-16): Martijn J. Kool, Martina Proietti Onori, Nils Z. Borgesius, Jolet E. van de Bree, M. Elgersma-Hooisma, Enzo Nio, K. Bezstarosti, Gabriëlle H S Buitendijk, Mehrnoush Aghadavoud Jolfaei, Jeroen A. A. Demmers, Y. Elgersma, and G. V. van Woerden. Camk2-dependent signaling in neurons is essential for survival. The Journal of Neuroscience, 39:5424-5439, Jul 2019. URL: https://doi.org/10.1523/jneurosci.1341-18.2019, doi:10.1523/jneurosci.1341-18.2019. This article has 84 citations.</w:t>
      </w:r>
    </w:p>
    <w:p>
      <w:pPr>
        <w:numPr>
          <w:ilvl w:val="0"/>
          <w:numId w:val="1001"/>
        </w:numPr>
      </w:pPr>
      <w:r>
        <w:t xml:space="preserve">(onori2018theintellectualdisabilityassociated pages 47-49): Martina Proietti Onori, Balwina Koopal, David B. Everman, Jessica D. Worthington, Julie R. Jones, Melissa A. Ploeg, Edwin Mientjes, Bregje W. van Bon, Tjitske Kleefstra, Howard Schulman, Steven A. Kushner, Sébastien Küry, Ype Elgersma, and Geeske M. van Woerden. The intellectual disability-associated camk2g p.arg292pro mutation acts as a pathogenic gain-of-function. Human Mutation, 39:2008-2024, Sep 2018. URL: https://doi.org/10.1002/humu.23647, doi:10.1002/humu.23647. This article has 43 citations and is from a domain leading peer-reviewed journal.</w:t>
      </w:r>
    </w:p>
    <w:p>
      <w:pPr>
        <w:numPr>
          <w:ilvl w:val="0"/>
          <w:numId w:val="1001"/>
        </w:numPr>
      </w:pPr>
      <w:r>
        <w:t xml:space="preserve">(rigter2023lossofcamk2g pages 14-14): P. M. Rigter, Charlotte de Konink, and G. V. van Woerden. Loss of camk2g affects intrinsic and motor behavior but has minimal impact on cognitive behavior. Frontiers in Neuroscience, Jan 2023. URL: https://doi.org/10.3389/fnins.2022.1086994, doi:10.3389/fnins.2022.1086994. This article has 3 citations and is from a peer-reviewed journal.</w:t>
      </w:r>
    </w:p>
    <w:p>
      <w:pPr>
        <w:numPr>
          <w:ilvl w:val="0"/>
          <w:numId w:val="1001"/>
        </w:numPr>
      </w:pPr>
      <w:r>
        <w:t xml:space="preserve">(yang2025activationofcamk2 pages 1-2): Xue Yang, Xiuquan Ma, Tianyue Zhao, David R. Croucher, Elizabeth V. Nguyen, Kimberley C Clark, Changyuan Hu, Sharissa L. Latham, C. Bayly-Jones, Bao V. Nguyen, Srikanth Budnar, Sung-young Shin, Lan K. Nguyen, Thomas R Cotton, Anderly C. Chüeh, Terry C. C. Lim Kam Sian, Margaret M. Stratton, A. Ellisdon, and Roger J. Daly. Activation of camk2 by pseudokinase peak1 represents a targetable pathway in triple negative breast cancer. Nature Communications, Feb 2025. URL: https://doi.org/10.1038/s41467-025-57046-8, doi:10.1038/s41467-025-57046-8. This article has 1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2025-07-02T20:27:55Z</dcterms:created>
  <dcterms:modified xsi:type="dcterms:W3CDTF">2025-07-02T20:27:55Z</dcterms:modified>
</cp:coreProperties>
</file>

<file path=docProps/custom.xml><?xml version="1.0" encoding="utf-8"?>
<Properties xmlns="http://schemas.openxmlformats.org/officeDocument/2006/custom-properties" xmlns:vt="http://schemas.openxmlformats.org/officeDocument/2006/docPropsVTypes"/>
</file>