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Class I DYRK kinase within the CMGC branch; closest paralog DYRK1B and related to Class II DYRK2-4 and HIPKs (soundararajan2013structuresofdown pages 1-2, aranda2011dyrkfamilyof pages 11-12).</w:t>
      </w:r>
      <w:r>
        <w:br/>
      </w:r>
      <w:r>
        <w:t xml:space="preserve">Orthologs: Saccharomyces cerevisiae Yak1, Drosophila melanogaster minibrain (mnb), Mus musculus Dyrk1a (widowati2018functionalcharacterizationof pages 9-10, lee2020anovelde pages 8-9).</w:t>
      </w:r>
    </w:p>
    <w:bookmarkEnd w:id="9"/>
    <w:bookmarkStart w:id="10" w:name="reaction-catalyzed"/>
    <w:p>
      <w:pPr>
        <w:pStyle w:val="Heading2"/>
      </w:pPr>
      <w:r>
        <w:t xml:space="preserve">Reaction Catalyzed</w:t>
      </w:r>
    </w:p>
    <w:p>
      <w:pPr>
        <w:pStyle w:val="Compact"/>
        <w:numPr>
          <w:ilvl w:val="0"/>
          <w:numId w:val="1001"/>
        </w:numPr>
      </w:pPr>
      <w:r>
        <w:t xml:space="preserve">ATP + protein-L-serine/threonine → ADP + protein-L-O-phosphoserine/threonine (soundararajan2013structuresofdown pages 1-2).</w:t>
      </w:r>
      <w:r>
        <w:br/>
      </w:r>
    </w:p>
    <w:p>
      <w:pPr>
        <w:pStyle w:val="Compact"/>
        <w:numPr>
          <w:ilvl w:val="0"/>
          <w:numId w:val="1001"/>
        </w:numPr>
      </w:pPr>
      <w:r>
        <w:t xml:space="preserve">ATP + protein-L-tyrosine → ADP + protein-L-O-phosphotyrosine (deboever2022theomnipresenceof pages 3-4).</w:t>
      </w:r>
    </w:p>
    <w:bookmarkEnd w:id="10"/>
    <w:bookmarkStart w:id="11" w:name="cofactor-requirements"/>
    <w:p>
      <w:pPr>
        <w:pStyle w:val="Heading2"/>
      </w:pPr>
      <w:r>
        <w:t xml:space="preserve">Cofactor Requirements</w:t>
      </w:r>
    </w:p>
    <w:p>
      <w:pPr>
        <w:pStyle w:val="FirstParagraph"/>
      </w:pPr>
      <w:r>
        <w:t xml:space="preserve">Catalysis requires divalent cations; Mn²⁺ is more efficient than Mg²⁺ in vitro (aranda2011dyrkfamilyof pages 11-12, lee2020anovelde pages 8-9).</w:t>
      </w:r>
    </w:p>
    <w:bookmarkEnd w:id="11"/>
    <w:bookmarkStart w:id="12" w:name="substrate-specificity"/>
    <w:p>
      <w:pPr>
        <w:pStyle w:val="Heading2"/>
      </w:pPr>
      <w:r>
        <w:t xml:space="preserve">Substrate Specificity</w:t>
      </w:r>
    </w:p>
    <w:p>
      <w:pPr>
        <w:pStyle w:val="FirstParagraph"/>
      </w:pPr>
      <w:r>
        <w:t xml:space="preserve">Consensus motif R-x(2)-S/T-P with strong selection for Arg at –3/–2 and Pro at +1 (ananthapadmanabhan2023insightsfromthe pages 3-4, widowati2018functionalcharacterizationof pages 9-10).</w:t>
      </w:r>
      <w:r>
        <w:br/>
      </w:r>
      <w:r>
        <w:t xml:space="preserve">Non-canonical sites accepted when a small hydrophobic residue (Ala/Val) occupies +1 (ananthapadmanabhan2023insightsfromthe pages 3-4).</w:t>
      </w:r>
      <w:r>
        <w:br/>
      </w:r>
      <w:r>
        <w:t xml:space="preserve">Intrinsic cis autophosphorylation on Tyr321 within the YxY activation-loop motif is obligatory for catalytic maturation (aranda2011dyrkfamilyof pages 11-12).</w:t>
      </w:r>
    </w:p>
    <w:bookmarkEnd w:id="12"/>
    <w:bookmarkStart w:id="13" w:name="structure"/>
    <w:p>
      <w:pPr>
        <w:pStyle w:val="Heading2"/>
      </w:pPr>
      <w:r>
        <w:t xml:space="preserve">Structure</w:t>
      </w:r>
    </w:p>
    <w:p>
      <w:pPr>
        <w:pStyle w:val="FirstParagraph"/>
      </w:pPr>
      <w:r>
        <w:t xml:space="preserve">Modular arrangement: N-terminal DYRK-homology (DH) box required for folding/autophosphorylation; bilobal kinase domain; C-terminal region enriched in His, PEST and nuclear-localisation sequences (ananthapadmanabhan2023insightsfromthe pages 1-2, aranda2011dyrkfamilyof pages 11-12).</w:t>
      </w:r>
      <w:r>
        <w:br/>
      </w:r>
      <w:r>
        <w:t xml:space="preserve">Crystal structures of the catalytic domain (PDB 2WO6, 4YU2) show active DFG-in conformation, phosphorylated Tyr321 in a fully ordered activation loop, aligned hydrophobic spine and correctly positioned αC-helix (soundararajan2013structuresofdown pages 1-2, evers2017structuralanalysisof pages 6-7).</w:t>
      </w:r>
      <w:r>
        <w:br/>
      </w:r>
      <w:r>
        <w:t xml:space="preserve">The His-rich low-complexity tract targets the protein to nuclear speckles (ananthapadmanabhan2023insightsfromthe pages 2-3).</w:t>
      </w:r>
    </w:p>
    <w:bookmarkEnd w:id="13"/>
    <w:bookmarkStart w:id="14" w:name="regulation"/>
    <w:p>
      <w:pPr>
        <w:pStyle w:val="Heading2"/>
      </w:pPr>
      <w:r>
        <w:t xml:space="preserve">Regulation</w:t>
      </w:r>
    </w:p>
    <w:p>
      <w:pPr>
        <w:pStyle w:val="FirstParagraph"/>
      </w:pPr>
      <w:r>
        <w:t xml:space="preserve">• Autophosphorylation: Tyr321—essential for activation (aranda2011dyrkfamilyof pages 11-12).</w:t>
      </w:r>
      <w:r>
        <w:br/>
      </w:r>
      <w:r>
        <w:t xml:space="preserve">• Additional phosphosites: Ser97 and Ser520 within regulatory regions influence activity/stability (widowati2018functionalcharacterizationof pages 9-10).</w:t>
      </w:r>
      <w:r>
        <w:br/>
      </w:r>
      <w:r>
        <w:t xml:space="preserve">• Ubiquitination: SCF-FBXW7 promotes proteasomal degradation (aranda2011dyrkfamilyof pages 11-12).</w:t>
      </w:r>
      <w:r>
        <w:br/>
      </w:r>
      <w:r>
        <w:t xml:space="preserve">• Proteolysis: Calpain-1 C-terminal cleavage generates a hyperactive fragment (lindberg2021dualspecificitytyrosinephosphorylationregulated pages 18-19).</w:t>
      </w:r>
      <w:r>
        <w:br/>
      </w:r>
      <w:r>
        <w:t xml:space="preserve">• Protein partners: WD40 adaptor WDR68/DCAF7 associates with the N-lobe and modulates localisation; SRC-family kinases act upstream (lindberg2021dualspecificitytyrosinephosphorylationregulated pages 16-18, lee2020anovelde pages 8-9).</w:t>
      </w:r>
    </w:p>
    <w:bookmarkEnd w:id="14"/>
    <w:bookmarkStart w:id="15" w:name="function"/>
    <w:p>
      <w:pPr>
        <w:pStyle w:val="Heading2"/>
      </w:pPr>
      <w:r>
        <w:t xml:space="preserve">Function</w:t>
      </w:r>
    </w:p>
    <w:p>
      <w:pPr>
        <w:pStyle w:val="FirstParagraph"/>
      </w:pPr>
      <w:r>
        <w:t xml:space="preserve">Highly expressed in cerebral cortex, hippocampus and pancreatic islets; present in nucleus and cytoplasm with enrichment in nuclear speckles (deboever2022theomnipresenceof pages 3-4, ananthapadmanabhan2023insightsfromthe pages 1-2).</w:t>
      </w:r>
      <w:r>
        <w:br/>
      </w:r>
      <w:r>
        <w:t xml:space="preserve">Key substrates and pathways:</w:t>
      </w:r>
      <w:r>
        <w:br/>
      </w:r>
      <w:r>
        <w:t xml:space="preserve">– DNA-damage response: phosphorylates RNF169 to restrict TP53BP1 accumulation and promote homologous-recombination repair (ananthapadmanabhan2023insightsfromthe pages 1-2).</w:t>
      </w:r>
      <w:r>
        <w:br/>
      </w:r>
      <w:r>
        <w:t xml:space="preserve">– Transcription: functions as CTD kinase for RNA-polymerase II large subunit POLR2A (deboever2022theomnipresenceof pages 14-15).</w:t>
      </w:r>
      <w:r>
        <w:br/>
      </w:r>
      <w:r>
        <w:t xml:space="preserve">– mRNA splicing: phosphorylates splice factor SRSF6 and modulates alternative exon selection, including tau exon 10 (lindberg2021dualspecificitytyrosinephosphorylationregulated pages 18-19).</w:t>
      </w:r>
      <w:r>
        <w:br/>
      </w:r>
      <w:r>
        <w:t xml:space="preserve">– Cell-cycle and neurogenesis: phosphorylates p27^Kip1 and Cyclin D1 to drive neuronal differentiation and G₀ exit (ananthapadmanabhan2023insightsfromthe pages 15-16).</w:t>
      </w:r>
    </w:p>
    <w:bookmarkEnd w:id="15"/>
    <w:bookmarkStart w:id="16" w:name="inhibitors"/>
    <w:p>
      <w:pPr>
        <w:pStyle w:val="Heading2"/>
      </w:pPr>
      <w:r>
        <w:t xml:space="preserve">Inhibitors</w:t>
      </w:r>
    </w:p>
    <w:p>
      <w:pPr>
        <w:pStyle w:val="FirstParagraph"/>
      </w:pPr>
      <w:r>
        <w:t xml:space="preserve">Harmine – nanomolar ATP-competitive inhibitor widely used as chemical probe (aranda2011dyrkfamilyof pages 11-12).</w:t>
      </w:r>
      <w:r>
        <w:br/>
      </w:r>
      <w:r>
        <w:t xml:space="preserve">INDY – indirubin derivative with low-micromolar potency (deboever2022theomnipresenceof pages 14-15).</w:t>
      </w:r>
      <w:r>
        <w:br/>
      </w:r>
      <w:r>
        <w:t xml:space="preserve">Leucettine-41 – sub-micromolar leucettamine analogue, brain-penetrant (nguyen2017dualspecificitytyrosinephosphorylationregulated pages 15-16).</w:t>
      </w:r>
    </w:p>
    <w:bookmarkEnd w:id="16"/>
    <w:bookmarkStart w:id="17" w:name="other-comments"/>
    <w:p>
      <w:pPr>
        <w:pStyle w:val="Heading2"/>
      </w:pPr>
      <w:r>
        <w:t xml:space="preserve">Other Comments</w:t>
      </w:r>
    </w:p>
    <w:p>
      <w:pPr>
        <w:pStyle w:val="FirstParagraph"/>
      </w:pPr>
      <w:r>
        <w:t xml:space="preserve">Gene is located on chromosome 21; dosage increase contributes to cognitive deficits in Down syndrome, whereas haploinsufficiency causes autosomal-dominant intellectual-disability syndrome with microcephaly (lindberg2021dualspecificitytyrosinephosphorylationregulated pages 18-19, widowati2018functionalcharacterizationof pages 9-10).</w:t>
      </w:r>
      <w:r>
        <w:br/>
      </w:r>
      <w:r>
        <w:t xml:space="preserve">Pathogenic missense variants H319Y and R467Q abolish activity; truncations produce loss-of-function phenotypes (lee2020anovelde pages 8-9).</w:t>
      </w:r>
      <w:r>
        <w:br/>
      </w:r>
      <w:r>
        <w:t xml:space="preserve">Hyperactivity promotes tau and APP phosphorylation linked to Alzheimer’s disease; context-dependent roles reported in several cancers and in β-cell regeneration paradigms (deboever2022theomnipresenceof pages 16-18, lindberg2021dualspecificitytyrosinephosphorylationregulated pages 18-19).</w:t>
      </w:r>
    </w:p>
    <w:p>
      <w:pPr>
        <w:pStyle w:val="BodyText"/>
      </w:pPr>
      <w:r>
        <w:t xml:space="preserve">References</w:t>
      </w:r>
    </w:p>
    <w:p>
      <w:pPr>
        <w:numPr>
          <w:ilvl w:val="0"/>
          <w:numId w:val="1002"/>
        </w:numPr>
      </w:pPr>
      <w:r>
        <w:t xml:space="preserve">(ananthapadmanabhan2023insightsfromthe pages 1-2): Varsha Ananthapadmanabhan, Kathryn H. Shows, A. J. Dickinson, and Larisa Litovchick. Insights from the protein interaction universe of the multifunctional “goldilocks” kinase dyrk1a. Frontiers in Cell and Developmental Biology, Oct 2023. URL: https://doi.org/10.3389/fcell.2023.1277537, doi:10.3389/fcell.2023.1277537. This article has 12 citations and is from a peer-reviewed journal.</w:t>
      </w:r>
    </w:p>
    <w:p>
      <w:pPr>
        <w:numPr>
          <w:ilvl w:val="0"/>
          <w:numId w:val="1002"/>
        </w:numPr>
      </w:pPr>
      <w:r>
        <w:t xml:space="preserve">(ananthapadmanabhan2023insightsfromthe pages 15-16): Varsha Ananthapadmanabhan, Kathryn H. Shows, A. J. Dickinson, and Larisa Litovchick. Insights from the protein interaction universe of the multifunctional “goldilocks” kinase dyrk1a. Frontiers in Cell and Developmental Biology, Oct 2023. URL: https://doi.org/10.3389/fcell.2023.1277537, doi:10.3389/fcell.2023.1277537. This article has 12 citations and is from a peer-reviewed journal.</w:t>
      </w:r>
    </w:p>
    <w:p>
      <w:pPr>
        <w:numPr>
          <w:ilvl w:val="0"/>
          <w:numId w:val="1002"/>
        </w:numPr>
      </w:pPr>
      <w:r>
        <w:t xml:space="preserve">(aranda2011dyrkfamilyof pages 11-12): Sergi Aranda, Ariadna Laguna, and Susana de la Luna. Dyrk family of protein kinases: evolutionary relationships, biochemical properties, and functional roles. The FASEB Journal, 25:449-462, Feb 2011. URL: https://doi.org/10.1096/fj.10-165837, doi:10.1096/fj.10-165837. This article has 368 citations.</w:t>
      </w:r>
    </w:p>
    <w:p>
      <w:pPr>
        <w:numPr>
          <w:ilvl w:val="0"/>
          <w:numId w:val="1002"/>
        </w:numPr>
      </w:pPr>
      <w:r>
        <w:t xml:space="preserve">(deboever2022theomnipresenceof pages 14-15): Estelle Deboever, Alessandra Fistrovich, Christopher Hulme, and Travis Dunckley. The omnipresence of dyrk1a in human diseases. International Journal of Molecular Sciences, 23:9355, Aug 2022. URL: https://doi.org/10.3390/ijms23169355, doi:10.3390/ijms23169355. This article has 45 citations and is from a peer-reviewed journal.</w:t>
      </w:r>
    </w:p>
    <w:p>
      <w:pPr>
        <w:numPr>
          <w:ilvl w:val="0"/>
          <w:numId w:val="1002"/>
        </w:numPr>
      </w:pPr>
      <w:r>
        <w:t xml:space="preserve">(deboever2022theomnipresenceof pages 16-18): Estelle Deboever, Alessandra Fistrovich, Christopher Hulme, and Travis Dunckley. The omnipresence of dyrk1a in human diseases. International Journal of Molecular Sciences, 23:9355, Aug 2022. URL: https://doi.org/10.3390/ijms23169355, doi:10.3390/ijms23169355. This article has 45 citations and is from a peer-reviewed journal.</w:t>
      </w:r>
    </w:p>
    <w:p>
      <w:pPr>
        <w:numPr>
          <w:ilvl w:val="0"/>
          <w:numId w:val="1002"/>
        </w:numPr>
      </w:pPr>
      <w:r>
        <w:t xml:space="preserve">(lee2020anovelde pages 8-9): Kyu-Sun Lee, Miri Choi, Dae-Woo Kwon, Doyoun Kim, Jong-Moon Choi, Ae-kyeong Kim, Youngwook Ham, S. Han, Sungchan Cho, and C. Cheon. A novel de novo heterozygous dyrk1a mutation causes complete loss of dyrk1a function and developmental delay. Scientific Reports, Jun 2020. URL: https://doi.org/10.1038/s41598-020-66750-y, doi:10.1038/s41598-020-66750-y. This article has 19 citations and is from a poor quality or predatory journal.</w:t>
      </w:r>
    </w:p>
    <w:p>
      <w:pPr>
        <w:numPr>
          <w:ilvl w:val="0"/>
          <w:numId w:val="1002"/>
        </w:numPr>
      </w:pPr>
      <w:r>
        <w:t xml:space="preserve">(lindberg2021dualspecificitytyrosinephosphorylationregulated pages 16-18): M. F. Lindberg and L. Meijer. Dual-specificity, tyrosine phosphorylation-regulated kinases (dyrks) and cdc2-like kinases (clks) in human disease, an overview. International Journal of Molecular Sciences, Jun 2021. URL: https://doi.org/10.3390/ijms22116047, doi:10.3390/ijms22116047. This article has 93 citations and is from a peer-reviewed journal.</w:t>
      </w:r>
    </w:p>
    <w:p>
      <w:pPr>
        <w:numPr>
          <w:ilvl w:val="0"/>
          <w:numId w:val="1002"/>
        </w:numPr>
      </w:pPr>
      <w:r>
        <w:t xml:space="preserve">(widowati2018functionalcharacterizationof pages 9-10): E. Widowati, Sabrina Ernst, R. Hausmann, G. Müller-Newen, and W. Becker. Functional characterization of dyrk1a missense variants associated with a syndromic form of intellectual deficiency and autism. Biology Open, Apr 2018. URL: https://doi.org/10.1242/bio.032862, doi:10.1242/bio.032862. This article has 36 citations and is from a peer-reviewed journal.</w:t>
      </w:r>
    </w:p>
    <w:p>
      <w:pPr>
        <w:numPr>
          <w:ilvl w:val="0"/>
          <w:numId w:val="1002"/>
        </w:numPr>
      </w:pPr>
      <w:r>
        <w:t xml:space="preserve">(ananthapadmanabhan2023insightsfromthe pages 3-4): Varsha Ananthapadmanabhan, Kathryn H. Shows, A. J. Dickinson, and Larisa Litovchick. Insights from the protein interaction universe of the multifunctional “goldilocks” kinase dyrk1a. Frontiers in Cell and Developmental Biology, Oct 2023. URL: https://doi.org/10.3389/fcell.2023.1277537, doi:10.3389/fcell.2023.1277537. This article has 12 citations and is from a peer-reviewed journal.</w:t>
      </w:r>
    </w:p>
    <w:p>
      <w:pPr>
        <w:numPr>
          <w:ilvl w:val="0"/>
          <w:numId w:val="1002"/>
        </w:numPr>
      </w:pPr>
      <w:r>
        <w:t xml:space="preserve">(deboever2022theomnipresenceof pages 3-4): Estelle Deboever, Alessandra Fistrovich, Christopher Hulme, and Travis Dunckley. The omnipresence of dyrk1a in human diseases. International Journal of Molecular Sciences, 23:9355, Aug 2022. URL: https://doi.org/10.3390/ijms23169355, doi:10.3390/ijms23169355. This article has 45 citations and is from a peer-reviewed journal.</w:t>
      </w:r>
    </w:p>
    <w:p>
      <w:pPr>
        <w:numPr>
          <w:ilvl w:val="0"/>
          <w:numId w:val="1002"/>
        </w:numPr>
      </w:pPr>
      <w:r>
        <w:t xml:space="preserve">(evers2017structuralanalysisof pages 6-7): Jochem M. G. Evers, R. Laskowski, M. Bertolli, J. Clayton-Smith, C. Deshpande, J. Eason, F. Elmslie, F. Flinter, C. Gardiner, J. Hurst, H. Kingston, U. Kini, A. Lampe, D. Lim, Alison M. Male, S. Naik, M. Parker, S. Price, L. Robert, A. Sarkar, V. Straub, G. Woods, J. Thornton, and C. Wright. Structural analysis of pathogenic mutations in the dyrk1a gene in patients with developmental disorders. Human Molecular Genetics, 26:519-526, Jan 2017. URL: https://doi.org/10.1093/hmg/ddw409, doi:10.1093/hmg/ddw409. This article has 42 citations and is from a domain leading peer-reviewed journal.</w:t>
      </w:r>
    </w:p>
    <w:p>
      <w:pPr>
        <w:numPr>
          <w:ilvl w:val="0"/>
          <w:numId w:val="1002"/>
        </w:numPr>
      </w:pPr>
      <w:r>
        <w:t xml:space="preserve">(lindberg2021dualspecificitytyrosinephosphorylationregulated pages 18-19): M. F. Lindberg and L. Meijer. Dual-specificity, tyrosine phosphorylation-regulated kinases (dyrks) and cdc2-like kinases (clks) in human disease, an overview. International Journal of Molecular Sciences, Jun 2021. URL: https://doi.org/10.3390/ijms22116047, doi:10.3390/ijms22116047. This article has 93 citations and is from a peer-reviewed journal.</w:t>
      </w:r>
    </w:p>
    <w:p>
      <w:pPr>
        <w:numPr>
          <w:ilvl w:val="0"/>
          <w:numId w:val="1002"/>
        </w:numPr>
      </w:pPr>
      <w:r>
        <w:t xml:space="preserve">(nguyen2017dualspecificitytyrosinephosphorylationregulated pages 15-16): Thu Lan Nguyen, Corinne Fruit, Yann Hérault, Laurent Meijer, and Thierry Besson. Dual-specificity tyrosine phosphorylation-regulated kinase 1a (dyrk1a) inhibitors: a survey of recent patent literature. Expert Opinion on Therapeutic Patents, 27:1183-1199, Aug 2017. URL: https://doi.org/10.1080/13543776.2017.1360285, doi:10.1080/13543776.2017.1360285. This article has 70 citations and is from a peer-reviewed journal.</w:t>
      </w:r>
    </w:p>
    <w:p>
      <w:pPr>
        <w:numPr>
          <w:ilvl w:val="0"/>
          <w:numId w:val="1002"/>
        </w:numPr>
      </w:pPr>
      <w:r>
        <w:t xml:space="preserve">(soundararajan2013structuresofdown pages 1-2): Meera Soundararajan, A. Roos, P. Savitsky, P. Filippakopoulos, A. Kettenbach, J. Olsen, S. Gerber, J. Eswaran, S. Knapp, and J. Elkins. Structures of down syndrome kinases, dyrks, reveal mechanisms of kinase activation and substrate recognition. Structure(London, England:1993), 21:986-996, Jun 2013. URL: https://doi.org/10.1016/j.str.2013.03.012, doi:10.1016/j.str.2013.03.012. This article has 181 citations.</w:t>
      </w:r>
    </w:p>
    <w:p>
      <w:pPr>
        <w:numPr>
          <w:ilvl w:val="0"/>
          <w:numId w:val="1002"/>
        </w:numPr>
      </w:pPr>
      <w:r>
        <w:t xml:space="preserve">(ananthapadmanabhan2023insightsfromthe pages 2-3): Varsha Ananthapadmanabhan, Kathryn H. Shows, A. J. Dickinson, and Larisa Litovchick. Insights from the protein interaction universe of the multifunctional “goldilocks” kinase dyrk1a. Frontiers in Cell and Developmental Biology, Oct 2023. URL: https://doi.org/10.3389/fcell.2023.1277537, doi:10.3389/fcell.2023.1277537. This article has 12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2025-07-02T17:26:57Z</dcterms:created>
  <dcterms:modified xsi:type="dcterms:W3CDTF">2025-07-02T17:26:57Z</dcterms:modified>
</cp:coreProperties>
</file>

<file path=docProps/custom.xml><?xml version="1.0" encoding="utf-8"?>
<Properties xmlns="http://schemas.openxmlformats.org/officeDocument/2006/custom-properties" xmlns:vt="http://schemas.openxmlformats.org/officeDocument/2006/docPropsVTypes"/>
</file>