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the Tyrosine-Kinase-Like (TKL) group, TGF-β receptor type-II subfamily of the human kinome (trumpp2023characterizationoffibrodysplasia pages 21-22).</w:t>
      </w:r>
      <w:r>
        <w:br/>
      </w:r>
      <w:r>
        <w:t xml:space="preserve">• Paralogs ACVR2A and BMPR2 form a closely related receptor cluster within the type-II branch (hart2020mutationalanalysisof pages 2-3).</w:t>
      </w:r>
      <w:r>
        <w:br/>
      </w:r>
      <w:r>
        <w:t xml:space="preserve">• Orthologs are conserved from vertebrates (Mus musculus, Rattus norvegicus, Danio rerio, Xenopus spp.) to invertebrates (Drosophila melanogaster, Caenorhabditis elegans), demonstrating deep metazoan conservation (vishnu2019molecularcharacterizationand pages 5-6, wodziński2019doestheexpression pages 8-8).</w:t>
      </w:r>
    </w:p>
    <w:bookmarkEnd w:id="9"/>
    <w:bookmarkStart w:id="10" w:name="reaction-catalyzed"/>
    <w:p>
      <w:pPr>
        <w:pStyle w:val="Heading2"/>
      </w:pPr>
      <w:r>
        <w:t xml:space="preserve">Reaction Catalyzed</w:t>
      </w:r>
    </w:p>
    <w:p>
      <w:pPr>
        <w:pStyle w:val="FirstParagraph"/>
      </w:pPr>
      <w:r>
        <w:t xml:space="preserve">ATP + [protein] → ADP + [protein]-O-Ser/Thr-phosphate (han2007crystalstructureof pages 1-2).</w:t>
      </w:r>
    </w:p>
    <w:bookmarkEnd w:id="10"/>
    <w:bookmarkStart w:id="11" w:name="cofactor-requirements"/>
    <w:p>
      <w:pPr>
        <w:pStyle w:val="Heading2"/>
      </w:pPr>
      <w:r>
        <w:t xml:space="preserve">Cofactor Requirements</w:t>
      </w:r>
    </w:p>
    <w:p>
      <w:pPr>
        <w:pStyle w:val="FirstParagraph"/>
      </w:pPr>
      <w:r>
        <w:t xml:space="preserve">Requires Mg²⁺, evidenced by Mg-ADP coordinated in the catalytic cleft of homologous type-II receptor structures (chaikuad2019structuralconsequencesof pages 5-8).</w:t>
      </w:r>
    </w:p>
    <w:bookmarkEnd w:id="11"/>
    <w:bookmarkStart w:id="12" w:name="substrate-specificity"/>
    <w:p>
      <w:pPr>
        <w:pStyle w:val="Heading2"/>
      </w:pPr>
      <w:r>
        <w:t xml:space="preserve">Substrate Specificity</w:t>
      </w:r>
    </w:p>
    <w:p>
      <w:pPr>
        <w:pStyle w:val="FirstParagraph"/>
      </w:pPr>
      <w:r>
        <w:t xml:space="preserve">• Phosphorylates Ser/Thr residues within the GS domain of associated type-I receptors; an independent linear consensus motif has not been defined (sako2010characterizationofthe pages 1-2).</w:t>
      </w:r>
      <w:r>
        <w:br/>
      </w:r>
      <w:r>
        <w:t xml:space="preserve">• ACVR2B was not profiled in the recent kinome-wide substrate atlas, therefore intrinsic peptide specificity remains undetermined (Johnson atlas not available in provided context).</w:t>
      </w:r>
    </w:p>
    <w:bookmarkEnd w:id="12"/>
    <w:bookmarkStart w:id="13" w:name="structure"/>
    <w:p>
      <w:pPr>
        <w:pStyle w:val="Heading2"/>
      </w:pPr>
      <w:r>
        <w:t xml:space="preserve">Structure</w:t>
      </w:r>
    </w:p>
    <w:p>
      <w:pPr>
        <w:pStyle w:val="FirstParagraph"/>
      </w:pPr>
      <w:r>
        <w:t xml:space="preserve">Domain organisation</w:t>
      </w:r>
      <w:r>
        <w:br/>
      </w:r>
      <w:r>
        <w:t xml:space="preserve">– Signal peptide 1–24 (vishnu2019molecularcharacterizationand pages 5-6).</w:t>
      </w:r>
      <w:r>
        <w:br/>
      </w:r>
      <w:r>
        <w:t xml:space="preserve">– Extracellular ligand-binding domain 27–117 adopting a three-finger toxin fold; key ligand contacts Tyr60, Val73, Trp78, Leu79, Phe82, Val99, Phe101 (vishnu2019molecularcharacterizationand pages 7-9, chu2022typeiibmp pages 12-13).</w:t>
      </w:r>
      <w:r>
        <w:br/>
      </w:r>
      <w:r>
        <w:t xml:space="preserve">– Single transmembrane helix 138–160 (vishnu2019molecularcharacterizationand pages 5-6).</w:t>
      </w:r>
      <w:r>
        <w:br/>
      </w:r>
      <w:r>
        <w:t xml:space="preserve">– Intracellular serine/threonine kinase domain 190–479 (han2007crystalstructureof pages 1-2).</w:t>
      </w:r>
    </w:p>
    <w:p>
      <w:pPr>
        <w:pStyle w:val="BodyText"/>
      </w:pPr>
      <w:r>
        <w:t xml:space="preserve">3D structural features (PDB 2QLU)</w:t>
      </w:r>
      <w:r>
        <w:br/>
      </w:r>
      <w:r>
        <w:t xml:space="preserve">• Canonical bilobal fold with VAIK Lys217 (ATP anchoring), HRD catalytic triad and DFG motif at the activation segment start (han2007crystalstructureof pages 1-2).</w:t>
      </w:r>
      <w:r>
        <w:br/>
      </w:r>
      <w:r>
        <w:t xml:space="preserve">• Gatekeeper Thr265 and supporting Phe247 generate a hydrophobic back pocket that shapes inhibitor selectivity (han2007crystalstructureof pages 1-2).</w:t>
      </w:r>
      <w:r>
        <w:br/>
      </w:r>
      <w:r>
        <w:t xml:space="preserve">• Absent Lys-Glu (β3–αC) salt bridge yet the unphosphorylated activation loop assumes an active-like conformation stabilized by three conserved prolines, contrasting with the longer, flexible loop of BMPR2 (han2007crystalstructureof pages 1-2, chaikuad2019structuralconsequencesof pages 5-8).</w:t>
      </w:r>
      <w:r>
        <w:br/>
      </w:r>
      <w:r>
        <w:t xml:space="preserve">• Extracellular domain engages growth factors through a conserved hydrophobic hotspot shared with ACVR2A and BMPR2 (chu2022typeiibmp pages 12-13).</w:t>
      </w:r>
    </w:p>
    <w:bookmarkEnd w:id="13"/>
    <w:bookmarkStart w:id="14" w:name="regulation"/>
    <w:p>
      <w:pPr>
        <w:pStyle w:val="Heading2"/>
      </w:pPr>
      <w:r>
        <w:t xml:space="preserve">Regulation</w:t>
      </w:r>
    </w:p>
    <w:p>
      <w:pPr>
        <w:pStyle w:val="FirstParagraph"/>
      </w:pPr>
      <w:r>
        <w:t xml:space="preserve">• Type-II kinase is constitutively active; activation-loop phosphorylation is dispensable for activity (chaikuad2019structuralconsequencesof pages 5-8).</w:t>
      </w:r>
      <w:r>
        <w:br/>
      </w:r>
      <w:r>
        <w:t xml:space="preserve">• Ligand binding drives heterotetramer formation with type-I receptors, enabling phosphorylation of their GS domains (sako2010characterizationofthe pages 1-2).</w:t>
      </w:r>
      <w:r>
        <w:br/>
      </w:r>
      <w:r>
        <w:t xml:space="preserve">• N-linked glycosylation of the extracellular domain is not required for high-affinity ligand binding (sako2010characterizationofthe pages 1-2).</w:t>
      </w:r>
      <w:r>
        <w:br/>
      </w:r>
      <w:r>
        <w:t xml:space="preserve">• SMURF2-mediated ubiquitination of activin receptor complexes targets the receptors for degradation, attenuating signalling (unknownauthors2012activinreceptorsin pages 200-205).</w:t>
      </w:r>
      <w:r>
        <w:br/>
      </w:r>
      <w:r>
        <w:t xml:space="preserve">• ACVR2B forms distinct homo-oligomers compared with ACVR2A; these stoichiometries modulate aberrant activation of the ALK2-R206H mutant implicated in FOP (szilagyi2024theactivationof pages 26-26).</w:t>
      </w:r>
      <w:r>
        <w:br/>
      </w:r>
      <w:r>
        <w:t xml:space="preserve">• Soluble ACVR2B-Fc sequesters circulating ligands, lowers basal SMAD2 phosphorylation and alters downstream responses (goh2017activinreceptortype pages 16-19).</w:t>
      </w:r>
    </w:p>
    <w:bookmarkEnd w:id="14"/>
    <w:bookmarkStart w:id="15" w:name="function"/>
    <w:p>
      <w:pPr>
        <w:pStyle w:val="Heading2"/>
      </w:pPr>
      <w:r>
        <w:t xml:space="preserve">Function</w:t>
      </w:r>
    </w:p>
    <w:p>
      <w:pPr>
        <w:pStyle w:val="FirstParagraph"/>
      </w:pPr>
      <w:r>
        <w:t xml:space="preserve">Expression</w:t>
      </w:r>
      <w:r>
        <w:br/>
      </w:r>
      <w:r>
        <w:t xml:space="preserve">• High expression in skeletal muscle; markedly lower levels in osteoblasts and osteocytes (goh2017activinreceptortype pages 3-5, goh2017activinreceptortype pages 16-19).</w:t>
      </w:r>
      <w:r>
        <w:br/>
      </w:r>
      <w:r>
        <w:t xml:space="preserve">• Transcripts detected in neurogenic zones, vasculature and developing muscle of medaka, supporting conserved roles in neural and muscular tissues (trumpp2023characterizationoffibrodysplasia pages 13-14).</w:t>
      </w:r>
    </w:p>
    <w:p>
      <w:pPr>
        <w:pStyle w:val="BodyText"/>
      </w:pPr>
      <w:r>
        <w:t xml:space="preserve">Ligands and signalling partners</w:t>
      </w:r>
      <w:r>
        <w:br/>
      </w:r>
      <w:r>
        <w:t xml:space="preserve">• Binds activin A/B, myostatin (GDF-8), GDF-11, BMP-2 and BMP-7 with variable affinity (sako2010characterizationofthe pages 1-2).</w:t>
      </w:r>
      <w:r>
        <w:br/>
      </w:r>
      <w:r>
        <w:t xml:space="preserve">• Recruits type-I partners ACVR1 (ALK2), ACVR1B (ALK4) and ACVR1C (ALK7) to propagate signals (valer2019acvr1functionin pages 1-4).</w:t>
      </w:r>
      <w:r>
        <w:br/>
      </w:r>
      <w:r>
        <w:t xml:space="preserve">• Activin/GDF binding activates SMAD2/3; BMP ligands redirect signalling to SMAD1/5/8 (sako2010characterizationofthe pages 1-2).</w:t>
      </w:r>
    </w:p>
    <w:p>
      <w:pPr>
        <w:pStyle w:val="BodyText"/>
      </w:pPr>
      <w:r>
        <w:t xml:space="preserve">Physiological roles</w:t>
      </w:r>
      <w:r>
        <w:br/>
      </w:r>
      <w:r>
        <w:t xml:space="preserve">• Negative regulator of skeletal muscle mass; ACVR2B-Fc treatment enlarges gastrocnemius, tibialis anterior and quadriceps muscles in mice (goh2017activinreceptortype pages 16-19).</w:t>
      </w:r>
      <w:r>
        <w:br/>
      </w:r>
      <w:r>
        <w:t xml:space="preserve">• Ligand trapping by ACVR2B-Fc nearly triples trabecular bone volume, indicating indirect anabolic effects on bone (goh2017activinreceptortype pages 16-19).</w:t>
      </w:r>
      <w:r>
        <w:br/>
      </w:r>
      <w:r>
        <w:t xml:space="preserve">• Participates in activin-dependent hyperactivation of ALK2-R206H in fibrodysplasia ossificans progressiva (valer2019acvr1functionin pages 1-4).</w:t>
      </w:r>
    </w:p>
    <w:bookmarkEnd w:id="15"/>
    <w:bookmarkStart w:id="16" w:name="inhibitors"/>
    <w:p>
      <w:pPr>
        <w:pStyle w:val="Heading2"/>
      </w:pPr>
      <w:r>
        <w:t xml:space="preserve">Inhibitors</w:t>
      </w:r>
    </w:p>
    <w:p>
      <w:pPr>
        <w:pStyle w:val="FirstParagraph"/>
      </w:pPr>
      <w:r>
        <w:t xml:space="preserve">• ACVR2B-Fc (ACE-031): soluble extracellular domain–IgG1 fusion that sequesters myostatin/activins, improves survival and muscle mass in cachectic models and increases bone mass (nissinen2018treatingcachexiausing pages 15-16, goh2017activinreceptortype pages 16-19).</w:t>
      </w:r>
    </w:p>
    <w:bookmarkEnd w:id="16"/>
    <w:bookmarkStart w:id="17" w:name="other-comments"/>
    <w:p>
      <w:pPr>
        <w:pStyle w:val="Heading2"/>
      </w:pPr>
      <w:r>
        <w:t xml:space="preserve">Other Comments</w:t>
      </w:r>
    </w:p>
    <w:p>
      <w:pPr>
        <w:pStyle w:val="FirstParagraph"/>
      </w:pPr>
      <w:r>
        <w:t xml:space="preserve">• Distinct receptor stoichiometry with ACVR2A versus ACVR2B governs pathogenic ALK2-R206H signalling in FOP, positioning ACVR2B as a modifier of disease severity (szilagyi2024theactivationof pages 26-26).</w:t>
      </w:r>
    </w:p>
    <w:p>
      <w:pPr>
        <w:pStyle w:val="BodyText"/>
      </w:pPr>
      <w:r>
        <w:t xml:space="preserve">References</w:t>
      </w:r>
    </w:p>
    <w:p>
      <w:pPr>
        <w:numPr>
          <w:ilvl w:val="0"/>
          <w:numId w:val="1001"/>
        </w:numPr>
      </w:pPr>
      <w:r>
        <w:t xml:space="preserve">(goh2017activinreceptortype pages 16-19): B. Goh, Vandana Singhal, A. J. Herrera, R. Tomlinson, Soohyun P. Kim, M. Faugere, Emily L. Germain-Lee, T. Clemens, Se-Jin Lee, and D. Digirolamo. Activin receptor type 2a (acvr2a) functions directly in osteoblasts as a negative regulator of bone mass. The Journal of Biological Chemistry, 292:13809-13822, Jun 2017. URL: https://doi.org/10.1074/jbc.m117.782128, doi:10.1074/jbc.m117.782128. This article has 66 citations.</w:t>
      </w:r>
    </w:p>
    <w:p>
      <w:pPr>
        <w:numPr>
          <w:ilvl w:val="0"/>
          <w:numId w:val="1001"/>
        </w:numPr>
      </w:pPr>
      <w:r>
        <w:t xml:space="preserve">(goh2017activinreceptortype pages 3-5): B. Goh, Vandana Singhal, A. J. Herrera, R. Tomlinson, Soohyun P. Kim, M. Faugere, Emily L. Germain-Lee, T. Clemens, Se-Jin Lee, and D. Digirolamo. Activin receptor type 2a (acvr2a) functions directly in osteoblasts as a negative regulator of bone mass. The Journal of Biological Chemistry, 292:13809-13822, Jun 2017. URL: https://doi.org/10.1074/jbc.m117.782128, doi:10.1074/jbc.m117.782128. This article has 66 citations.</w:t>
      </w:r>
    </w:p>
    <w:p>
      <w:pPr>
        <w:numPr>
          <w:ilvl w:val="0"/>
          <w:numId w:val="1001"/>
        </w:numPr>
      </w:pPr>
      <w:r>
        <w:t xml:space="preserve">(han2007crystalstructureof pages 1-2): Seungil Han, Pat Loulakis, Matt Griffor, and Zhi Xie. Crystal structure of activin receptor type iib kinase domain from human at 2.0 å resolution. Protein Science, 16:2272-2277, Oct 2007. URL: https://doi.org/10.1110/ps.073068407, doi:10.1110/ps.073068407. This article has 41 citations and is from a peer-reviewed journal.</w:t>
      </w:r>
    </w:p>
    <w:p>
      <w:pPr>
        <w:numPr>
          <w:ilvl w:val="0"/>
          <w:numId w:val="1001"/>
        </w:numPr>
      </w:pPr>
      <w:r>
        <w:t xml:space="preserve">(sako2010characterizationofthe pages 1-2): Dianne Sako, Asya V. Grinberg, June Liu, Monique V. Davies, Roselyne Castonguay, Silas Maniatis, Amy J. Andreucci, Eileen G. Pobre, Kathleen N. Tomkinson, Travis E. Monnell, Jeffrey A. Ucran, Erik Martinez-Hackert, R. Scott Pearsall, Kathryn W. Underwood, Jasbir Seehra, and Ravindra Kumar. Characterization of the ligand binding functionality of the extracellular domain of activin receptor type iib. Journal of Biological Chemistry, 285:21037-21048, Jul 2010. URL: https://doi.org/10.1074/jbc.m110.114959, doi:10.1074/jbc.m110.114959. This article has 241 citations and is from a domain leading peer-reviewed journal.</w:t>
      </w:r>
    </w:p>
    <w:p>
      <w:pPr>
        <w:numPr>
          <w:ilvl w:val="0"/>
          <w:numId w:val="1001"/>
        </w:numPr>
      </w:pPr>
      <w:r>
        <w:t xml:space="preserve">(trumpp2023characterizationoffibrodysplasia pages 21-22): M. Trumpp, W. H. Tan, Wiktor Burdzinski, Yara Basler, Jerome Jatzlau, Petra Knaus, and Christoph Winkler. Characterization of fibrodysplasia ossificans progessiva relevant acvr1/acvr2 activin receptors in medaka (oryzias latipes). PLOS ONE, Sep 2023. URL: https://doi.org/10.1371/journal.pone.0291379, doi:10.1371/journal.pone.0291379. This article has 1 citations and is from a peer-reviewed journal.</w:t>
      </w:r>
    </w:p>
    <w:p>
      <w:pPr>
        <w:numPr>
          <w:ilvl w:val="0"/>
          <w:numId w:val="1001"/>
        </w:numPr>
      </w:pPr>
      <w:r>
        <w:t xml:space="preserve">(vishnu2019molecularcharacterizationand pages 5-6): P. Guru Vishnu, T.K. Bhattacharya, Bharat Bhushan, Pushpendra Kumar, R.N. Chatterjee, Chandan Paswan, A. Rajendra Prasad, D. Divya, and K. Dushyanth. Molecular characterization and computational structure prediction of activin receptor type iib in aseel and broiler chicken. Research in Veterinary Science, 126:139-149, Oct 2019. URL: https://doi.org/10.1016/j.rvsc.2019.08.025, doi:10.1016/j.rvsc.2019.08.025. This article has 0 citations and is from a peer-reviewed journal.</w:t>
      </w:r>
    </w:p>
    <w:p>
      <w:pPr>
        <w:numPr>
          <w:ilvl w:val="0"/>
          <w:numId w:val="1001"/>
        </w:numPr>
      </w:pPr>
      <w:r>
        <w:t xml:space="preserve">(vishnu2019molecularcharacterizationand pages 7-9): P. Guru Vishnu, T.K. Bhattacharya, Bharat Bhushan, Pushpendra Kumar, R.N. Chatterjee, Chandan Paswan, A. Rajendra Prasad, D. Divya, and K. Dushyanth. Molecular characterization and computational structure prediction of activin receptor type iib in aseel and broiler chicken. Research in Veterinary Science, 126:139-149, Oct 2019. URL: https://doi.org/10.1016/j.rvsc.2019.08.025, doi:10.1016/j.rvsc.2019.08.025. This article has 0 citations and is from a peer-reviewed journal.</w:t>
      </w:r>
    </w:p>
    <w:p>
      <w:pPr>
        <w:numPr>
          <w:ilvl w:val="0"/>
          <w:numId w:val="1001"/>
        </w:numPr>
      </w:pPr>
      <w:r>
        <w:t xml:space="preserve">(chaikuad2019structuralconsequencesof pages 5-8): Apirat Chaikuad, Chancievan Thangaratnarajah, Frank von Delft, and Alex N Bullock. Structural consequences of bmpr2 kinase domain mutations causing pulmonary arterial hypertension. Scientific Reports, Sep 2019. URL: https://doi.org/10.1101/786756, doi:10.1101/786756. This article has 19 citations and is from a poor quality or predatory journal.</w:t>
      </w:r>
    </w:p>
    <w:p>
      <w:pPr>
        <w:numPr>
          <w:ilvl w:val="0"/>
          <w:numId w:val="1001"/>
        </w:numPr>
      </w:pPr>
      <w:r>
        <w:t xml:space="preserve">(chu2022typeiibmp pages 12-13): Kit-Yee Chu, Anjali Malik, Vijayalakshmi Thamilselvan, and Erik Martinez-Hackert. Type ii bmp and activin receptors bmpr2 and acvr2a share a conserved mode of growth factor recognition. Journal of Biological Chemistry, 298:102076, Jul 2022. URL: https://doi.org/10.1016/j.jbc.2022.102076, doi:10.1016/j.jbc.2022.102076. This article has 11 citations and is from a domain leading peer-reviewed journal.</w:t>
      </w:r>
    </w:p>
    <w:p>
      <w:pPr>
        <w:numPr>
          <w:ilvl w:val="0"/>
          <w:numId w:val="1001"/>
        </w:numPr>
      </w:pPr>
      <w:r>
        <w:t xml:space="preserve">(hart2020mutationalanalysisof pages 2-3): Kaitlin N Hart, David Pépin, Magdalena Czepnik, Patricia K Donahoe, and Thomas B Thompson. Mutational analysis of the putative anti-müllerian hormone (amh) binding interface on its type ii receptor, amhr2. Endocrinology, Apr 2020. URL: https://doi.org/10.1210/endocr/bqaa066, doi:10.1210/endocr/bqaa066. This article has 18 citations and is from a domain leading peer-reviewed journal.</w:t>
      </w:r>
    </w:p>
    <w:p>
      <w:pPr>
        <w:numPr>
          <w:ilvl w:val="0"/>
          <w:numId w:val="1001"/>
        </w:numPr>
      </w:pPr>
      <w:r>
        <w:t xml:space="preserve">(szilagyi2024theactivationof pages 26-26): S. Szilágyi, Wiktor Burdzinski, Jerome Jatzlau, Marcelo Ehrlich, Petra Knaus, and Y. Henis. The activation of the fibrodysplasia ossificans progressiva-inducing alk2-r206h mutant depends on the distinct homo-oligomerization patterns of acvr2b and acvr2a. Cells, Jan 2024. URL: https://doi.org/10.3390/cells13030221, doi:10.3390/cells13030221. This article has 2 citations and is from a peer-reviewed journal.</w:t>
      </w:r>
    </w:p>
    <w:p>
      <w:pPr>
        <w:numPr>
          <w:ilvl w:val="0"/>
          <w:numId w:val="1001"/>
        </w:numPr>
      </w:pPr>
      <w:r>
        <w:t xml:space="preserve">(trumpp2023characterizationoffibrodysplasia pages 13-14): M. Trumpp, W. H. Tan, Wiktor Burdzinski, Yara Basler, Jerome Jatzlau, Petra Knaus, and Christoph Winkler. Characterization of fibrodysplasia ossificans progessiva relevant acvr1/acvr2 activin receptors in medaka (oryzias latipes). PLOS ONE, Sep 2023. URL: https://doi.org/10.1371/journal.pone.0291379, doi:10.1371/journal.pone.0291379. This article has 1 citations and is from a peer-reviewed journal.</w:t>
      </w:r>
    </w:p>
    <w:p>
      <w:pPr>
        <w:numPr>
          <w:ilvl w:val="0"/>
          <w:numId w:val="1001"/>
        </w:numPr>
      </w:pPr>
      <w:r>
        <w:t xml:space="preserve">(nissinen2018treatingcachexiausing pages 15-16): Tuuli A. Nissinen, Jaakko Hentilä, Fabio Penna, Anita Lampinen, Juulia H. Lautaoja, Vasco Fachada, Tanja Holopainen, Olli Ritvos, Riikka Kivelä, and Juha J. Hulmi. Treating cachexia using soluble acvr2b improves survival, alters mtor localization, and attenuates liver and spleen responses. Journal of Cachexia, Sarcopenia and Muscle, 9:514-529, May 2018. URL: https://doi.org/10.1002/jcsm.12310, doi:10.1002/jcsm.12310. This article has 74 citations and is from a domain leading peer-reviewed journal.</w:t>
      </w:r>
    </w:p>
    <w:p>
      <w:pPr>
        <w:numPr>
          <w:ilvl w:val="0"/>
          <w:numId w:val="1001"/>
        </w:numPr>
      </w:pPr>
      <w:r>
        <w:t xml:space="preserve">(unknownauthors2012activinreceptorsin pages 200-205): Activin receptors in gonadotrope cells: new tricks for old dogs</w:t>
      </w:r>
    </w:p>
    <w:p>
      <w:pPr>
        <w:numPr>
          <w:ilvl w:val="0"/>
          <w:numId w:val="1001"/>
        </w:numPr>
      </w:pPr>
      <w:r>
        <w:t xml:space="preserve">(valer2019acvr1functionin pages 1-4): José Antonio Valer, Cristina Sánchez-de-Diego, Carolina Pimenta-Lopes, Jose Luis Rosa, and Francesc Ventura. Acvr1 function in health and disease. Cells, 8:1366, Oct 2019. URL: https://doi.org/10.3390/cells8111366, doi:10.3390/cells8111366. This article has 87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2025-07-02T17:27:19Z</dcterms:created>
  <dcterms:modified xsi:type="dcterms:W3CDTF">2025-07-02T17:27:19Z</dcterms:modified>
</cp:coreProperties>
</file>

<file path=docProps/custom.xml><?xml version="1.0" encoding="utf-8"?>
<Properties xmlns="http://schemas.openxmlformats.org/officeDocument/2006/custom-properties" xmlns:vt="http://schemas.openxmlformats.org/officeDocument/2006/docPropsVTypes"/>
</file>