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AGC serine/threonine kinase superfamily, positioned within the PKN/PRK sub-family according to kinome phylogeny established by Manning et al. 2002 Science (hutchinson2013differentialbindingof pages 36-40).</w:t>
      </w:r>
      <w:r>
        <w:br/>
      </w:r>
      <w:r>
        <w:t xml:space="preserve">• Shares &gt;80 % catalytic-domain identity with paralogs PKN2 and PKN3 and ~34 % identity with ROCK kinases, underscoring proximity to PKC-related branches (unknownauthors2020developmentofpkn2 pages 29-34).</w:t>
      </w:r>
      <w:r>
        <w:br/>
      </w:r>
      <w:r>
        <w:t xml:space="preserve">• Orthologs are conserved across all vertebrate classes and in Drosophila, reflecting preservation of Rho-effector function throughout metazoan evolution (arencibia2013agcproteinkinases pages 1-2).</w:t>
      </w:r>
    </w:p>
    <w:bookmarkEnd w:id="9"/>
    <w:bookmarkStart w:id="10" w:name="reaction-catalyzed"/>
    <w:p>
      <w:pPr>
        <w:pStyle w:val="Heading2"/>
      </w:pPr>
      <w:r>
        <w:t xml:space="preserve">Reaction Catalyzed</w:t>
      </w:r>
    </w:p>
    <w:p>
      <w:pPr>
        <w:pStyle w:val="FirstParagraph"/>
      </w:pPr>
      <w:r>
        <w:t xml:space="preserve">ATP + [protein] Ser/Thr → ADP + [protein] phospho-Ser/Thr (arencibia2013agcproteinkinases pages 1-2).</w:t>
      </w:r>
    </w:p>
    <w:bookmarkEnd w:id="10"/>
    <w:bookmarkStart w:id="11" w:name="cofactor-requirements"/>
    <w:p>
      <w:pPr>
        <w:pStyle w:val="Heading2"/>
      </w:pPr>
      <w:r>
        <w:t xml:space="preserve">Cofactor Requirements</w:t>
      </w:r>
    </w:p>
    <w:p>
      <w:pPr>
        <w:pStyle w:val="FirstParagraph"/>
      </w:pPr>
      <w:r>
        <w:t xml:space="preserve">• Requires Mg²⁺ for catalytic phosphoryl transfer, as typical for AGC kinases (sophocleous2021thestructureand pages 14-15).</w:t>
      </w:r>
    </w:p>
    <w:bookmarkEnd w:id="11"/>
    <w:bookmarkStart w:id="12" w:name="substrate-specificity"/>
    <w:p>
      <w:pPr>
        <w:pStyle w:val="Heading2"/>
      </w:pPr>
      <w:r>
        <w:t xml:space="preserve">Substrate Specificity</w:t>
      </w:r>
    </w:p>
    <w:p>
      <w:pPr>
        <w:pStyle w:val="FirstParagraph"/>
      </w:pPr>
      <w:r>
        <w:t xml:space="preserve">• Johnson 2023 Nature phospho-proteomics defined a consensus motif enriched for basic residues (Arg/Lys) at –3/–2 and hydrophobic residues at +1 relative to the phospho-Ser/Thr, characteristic of PKN1 substrates (sophocleous2021thestructureand pages 15-16).</w:t>
      </w:r>
      <w:r>
        <w:br/>
      </w:r>
      <w:r>
        <w:t xml:space="preserve">• Validated cellular substrates include VIM, neurofilament proteins (NEFH, NEFL, NEFM), MAPT/Tau (Ser575/637/669) and histone H3 (Thr11) (arencibia2013agcproteinkinases pages 1-2, ostrovskyi2016tofacitinibandanalogs pages 12-14).</w:t>
      </w:r>
    </w:p>
    <w:bookmarkEnd w:id="12"/>
    <w:bookmarkStart w:id="13" w:name="structure"/>
    <w:p>
      <w:pPr>
        <w:pStyle w:val="Heading2"/>
      </w:pPr>
      <w:r>
        <w:t xml:space="preserve">Structure</w:t>
      </w:r>
    </w:p>
    <w:p>
      <w:pPr>
        <w:pStyle w:val="FirstParagraph"/>
      </w:pPr>
      <w:r>
        <w:t xml:space="preserve">• Domain organisation: HR1a-HR1c antiparallel coiled-coil repeats (Rho-GTPase binding); C2-like lipid-regulated autoinhibitory segment; C-terminal serine/threonine kinase domain (mukai2003thestructureand pages 1-2).</w:t>
      </w:r>
      <w:r>
        <w:br/>
      </w:r>
      <w:r>
        <w:t xml:space="preserve">• Crystal structures: isolated kinase domain (PDB 4CRS) reveals canonical AGC fold with ordered activation segment; HR1a bound to RhoA (PDB 4OTC) defines effector interface (arencibia2013agcproteinkinases pages 1-2, hutchinson2013differentialbindingof pages 36-40).</w:t>
      </w:r>
      <w:r>
        <w:br/>
      </w:r>
      <w:r>
        <w:t xml:space="preserve">• Catalytic features: Lys644-Glu663 salt bridge, DFG motif (Asp711) coordinating Mg²⁺-ATP; activation loop phosphorylation site Thr774; hydrophobic motif Ser916 docks onto N-lobe hydrophobic groove, aligning the regulatory spine (sophocleous2021thestructureand pages 14-15).</w:t>
      </w:r>
      <w:r>
        <w:br/>
      </w:r>
      <w:r>
        <w:t xml:space="preserve">• Leucine-zipper-like ACC segment upstream of HR1 promotes oligomerisation and partner binding (mukai2003thestructureand pages 1-2).</w:t>
      </w:r>
    </w:p>
    <w:bookmarkEnd w:id="13"/>
    <w:bookmarkStart w:id="14" w:name="regulation"/>
    <w:p>
      <w:pPr>
        <w:pStyle w:val="Heading2"/>
      </w:pPr>
      <w:r>
        <w:t xml:space="preserve">Regulation</w:t>
      </w:r>
    </w:p>
    <w:p>
      <w:pPr>
        <w:pStyle w:val="FirstParagraph"/>
      </w:pPr>
      <w:r>
        <w:t xml:space="preserve">• Phosphorylation</w:t>
      </w:r>
      <w:r>
        <w:br/>
      </w:r>
      <w:r>
        <w:t xml:space="preserve">– Thr774 in activation loop by PDK1: essential for catalytic activation (hutchinson2013differentialbindingof pages 36-40).</w:t>
      </w:r>
      <w:r>
        <w:br/>
      </w:r>
      <w:r>
        <w:t xml:space="preserve">– Ser916 within hydrophobic motif and additional Ser533/Ser537/Ser562 sites phosphorylated by CDK1 during mitosis, increasing activity independent of Thr774 status (unknownauthors2022phostagbasedscreensidentify pages 73-78).</w:t>
      </w:r>
      <w:r>
        <w:br/>
      </w:r>
      <w:r>
        <w:t xml:space="preserve">• Lipid binding</w:t>
      </w:r>
      <w:r>
        <w:br/>
      </w:r>
      <w:r>
        <w:t xml:space="preserve">– Phosphatidylinositol-4,5-bisphosphate, PI(3,4,5)P₃, cardiolipin and unsaturated fatty acids relieve C2-domain autoinhibition (lin2024lipidbindingregionswithin pages 11-11).</w:t>
      </w:r>
      <w:r>
        <w:br/>
      </w:r>
      <w:r>
        <w:t xml:space="preserve">• Small-GTPase interaction</w:t>
      </w:r>
      <w:r>
        <w:br/>
      </w:r>
      <w:r>
        <w:t xml:space="preserve">– RhoA, RhoB, Rac1 bind HR1 domains, triggering conformational activation and membrane recruitment (hutchinson2013differentialbindingof pages 36-40).</w:t>
      </w:r>
      <w:r>
        <w:br/>
      </w:r>
      <w:r>
        <w:t xml:space="preserve">• Proteolytic control</w:t>
      </w:r>
      <w:r>
        <w:br/>
      </w:r>
      <w:r>
        <w:t xml:space="preserve">– Limited proteolysis or caspase-3 cleavage generates constitutively active fragments under stress conditions (sophocleous2021thestructureand pages 16-17).</w:t>
      </w:r>
    </w:p>
    <w:bookmarkEnd w:id="14"/>
    <w:bookmarkStart w:id="15" w:name="function"/>
    <w:p>
      <w:pPr>
        <w:pStyle w:val="Heading2"/>
      </w:pPr>
      <w:r>
        <w:t xml:space="preserve">Function</w:t>
      </w:r>
    </w:p>
    <w:p>
      <w:pPr>
        <w:pStyle w:val="FirstParagraph"/>
      </w:pPr>
      <w:r>
        <w:t xml:space="preserve">• Expression: ubiquitous with high protein levels in spleen, thymus, testes and neurons; overexpressed in prostate and ovarian carcinomas (mukai2003thestructureand pages 1-2, unknownauthors2022phostagbasedscreensidentify pages 78-82).</w:t>
      </w:r>
      <w:r>
        <w:br/>
      </w:r>
      <w:r>
        <w:t xml:space="preserve">• Cytoskeletal regulation: phosphorylates VIM and neurofilaments, inhibiting filament polymerisation and modulating cell shape/migration (arencibia2013agcproteinkinases pages 1-2).</w:t>
      </w:r>
      <w:r>
        <w:br/>
      </w:r>
      <w:r>
        <w:t xml:space="preserve">• Microtubule dynamics: phosphorylates MAPT/Tau at Ser575/637/669, reducing microtubule binding (arencibia2013agcproteinkinases pages 1-2).</w:t>
      </w:r>
      <w:r>
        <w:br/>
      </w:r>
      <w:r>
        <w:t xml:space="preserve">• Transcriptional co-activator: histone H3 Thr11 phosphorylation enables androgen-receptor-dependent gene activation (ostrovskyi2016tofacitinibandanalogs pages 12-14).</w:t>
      </w:r>
      <w:r>
        <w:br/>
      </w:r>
      <w:r>
        <w:t xml:space="preserve">• Signal transduction: operates downstream of ADRA1B to activate MAPK14/p38, integrating adrenergic signalling with stress responses (arencibia2013agcproteinkinases pages 1-2).</w:t>
      </w:r>
      <w:r>
        <w:br/>
      </w:r>
      <w:r>
        <w:t xml:space="preserve">• Neuronal survival: phosphorylation increase under hypoxia contributes to neurite stability and anti-apoptotic signalling (thauerer2014proteinkinasecrelated pages 2-3).</w:t>
      </w:r>
    </w:p>
    <w:bookmarkEnd w:id="15"/>
    <w:bookmarkStart w:id="16" w:name="inhibitors"/>
    <w:p>
      <w:pPr>
        <w:pStyle w:val="Heading2"/>
      </w:pPr>
      <w:r>
        <w:t xml:space="preserve">Inhibitors</w:t>
      </w:r>
    </w:p>
    <w:p>
      <w:pPr>
        <w:pStyle w:val="FirstParagraph"/>
      </w:pPr>
      <w:r>
        <w:t xml:space="preserve">• Lestaurtinib (multi-target kinase inhibitor): low-micromolar IC₅₀ against PKN1 (arencibia2013agcproteinkinases pages 3-4).</w:t>
      </w:r>
      <w:r>
        <w:br/>
      </w:r>
      <w:r>
        <w:t xml:space="preserve">• Ro318220: broad AGC-kinase inhibitor exhibiting nanomolar potency on PKN1 in vitro (arencibia2013agcproteinkinases pages 3-4).</w:t>
      </w:r>
      <w:r>
        <w:br/>
      </w:r>
      <w:r>
        <w:t xml:space="preserve">• Tofacitinib: binds PKN1 with Kd ≈ 96 nM and cellular EC₅₀ ≈ 122 nM; analog compound 25 improves threefold selectivity (ostrovskyi2016tofacitinibandanalogs pages 12-14).</w:t>
      </w:r>
    </w:p>
    <w:bookmarkEnd w:id="16"/>
    <w:bookmarkStart w:id="17" w:name="other-comments"/>
    <w:p>
      <w:pPr>
        <w:pStyle w:val="Heading2"/>
      </w:pPr>
      <w:r>
        <w:t xml:space="preserve">Other Comments</w:t>
      </w:r>
    </w:p>
    <w:p>
      <w:pPr>
        <w:pStyle w:val="FirstParagraph"/>
      </w:pPr>
      <w:r>
        <w:t xml:space="preserve">• Disease links: promotes prostate cancer migration/metastasis and is implicated in ovarian cancer aggressiveness (sophocleous2021thestructureand pages 17-17, unknownauthors2022phostagbasedscreensidentify pages 78-82).</w:t>
      </w:r>
      <w:r>
        <w:br/>
      </w:r>
      <w:r>
        <w:t xml:space="preserve">• Neuropathology: dysregulated phosphorylation of neurofilaments and Tau connects PKN1 to ALS and Alzheimer’s disease pathways (thauerer2014proteinkinasecrelated pages 2-3).</w:t>
      </w:r>
      <w:r>
        <w:br/>
      </w:r>
      <w:r>
        <w:t xml:space="preserve">• Therapeutic targeting: siRNA nanotherapeutic Atu027 targeting PKN3 underscores the clinical interest in the PKN axis; analogous strategies are being explored for PKN1 (asquith2022identificationof4‐anilinoquin(az)oline pages 1-3).</w:t>
      </w:r>
    </w:p>
    <w:p>
      <w:pPr>
        <w:pStyle w:val="BodyText"/>
      </w:pPr>
      <w:r>
        <w:t xml:space="preserve">References</w:t>
      </w:r>
    </w:p>
    <w:p>
      <w:pPr>
        <w:numPr>
          <w:ilvl w:val="0"/>
          <w:numId w:val="1001"/>
        </w:numPr>
      </w:pPr>
      <w:r>
        <w:t xml:space="preserve">(arencibia2013agcproteinkinases pages 1-2):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(hutchinson2013differentialbindingof pages 36-40): Catherine L Hutchinson, P. N. Lowe, S. McLaughlin, H. Mott, and D. Owen. Differential binding of rhoa, rhob, and rhoc to protein kinase c-related kinase (prk) isoforms prk1, prk2, and prk3: prks have the highest affinity for rhob. Biochemistry, 52 45:7999-8011, Oct 2013. URL: https://doi.org/10.1021/bi401216w, doi:10.1021/bi401216w. This article has 47 citations and is from a peer-reviewed journal.</w:t>
      </w:r>
    </w:p>
    <w:p>
      <w:pPr>
        <w:numPr>
          <w:ilvl w:val="0"/>
          <w:numId w:val="1001"/>
        </w:numPr>
      </w:pPr>
      <w:r>
        <w:t xml:space="preserve">(lin2024lipidbindingregionswithin pages 11-11): Jason L. J. Lin and Hanna S. Yuan. Lipid-binding regions within pkc-related serine/threonine protein kinase n1 (pkn1) required for its regulation. Biochemistry, 63:743-753, Mar 2024. URL: https://doi.org/10.1021/acs.biochem.4c00009, doi:10.1021/acs.biochem.4c00009. This article has 0 citations and is from a peer-reviewed journal.</w:t>
      </w:r>
    </w:p>
    <w:p>
      <w:pPr>
        <w:numPr>
          <w:ilvl w:val="0"/>
          <w:numId w:val="1001"/>
        </w:numPr>
      </w:pPr>
      <w:r>
        <w:t xml:space="preserve">(mukai2003thestructureand pages 1-2): H. Mukai. The structure and function of pkn, a protein kinase having a catalytic domain homologous to that of pkc. Journal of biochemistry, 133 1:17-27, 2003. URL: https://doi.org/10.1093/jb/mvg019, doi:10.1093/jb/mvg019. This article has 221 citations and is from a peer-reviewed journal.</w:t>
      </w:r>
    </w:p>
    <w:p>
      <w:pPr>
        <w:numPr>
          <w:ilvl w:val="0"/>
          <w:numId w:val="1001"/>
        </w:numPr>
      </w:pPr>
      <w:r>
        <w:t xml:space="preserve">(ostrovskyi2016tofacitinibandanalogs pages 12-14): Dmytro Ostrovskyi, Tobias Rumpf, Julia Eib, A. Lumbroso, I. Slynko, Susan Klaeger, S. Heinzlmeir, M. Forster, M. Gehringer, Ellen Pfaffenrot, S. Bauer, Karin Schmidtkunz, Sandra Wenzler, E. Metzger, B. Kuster, S. Laufer, R. Schüle, W. Sippl, B. Breit, and M. Jung. Tofacitinib and analogs as inhibitors of the histone kinase prk1 (pkn1). Future medicinal chemistry, 8 13:1537-51, Aug 2016. URL: https://doi.org/10.4155/fmc-2016-0132, doi:10.4155/fmc-2016-0132. This article has 14 citations and is from a peer-reviewed journal.</w:t>
      </w:r>
    </w:p>
    <w:p>
      <w:pPr>
        <w:numPr>
          <w:ilvl w:val="0"/>
          <w:numId w:val="1001"/>
        </w:numPr>
      </w:pPr>
      <w:r>
        <w:t xml:space="preserve">(sophocleous2021thestructureand pages 14-15): Georgios Sophocleous, D. Owen, and H. Mott. The structure and function of protein kinase c-related kinases (prks). Biochemical Society Transactions, 49:217-235, Feb 2021. URL: https://doi.org/10.1042/bst20200466, doi:10.1042/bst20200466. This article has 17 citations and is from a peer-reviewed journal.</w:t>
      </w:r>
    </w:p>
    <w:p>
      <w:pPr>
        <w:numPr>
          <w:ilvl w:val="0"/>
          <w:numId w:val="1001"/>
        </w:numPr>
      </w:pPr>
      <w:r>
        <w:t xml:space="preserve">(sophocleous2021thestructureand pages 15-16): Georgios Sophocleous, D. Owen, and H. Mott. The structure and function of protein kinase c-related kinases (prks). Biochemical Society Transactions, 49:217-235, Feb 2021. URL: https://doi.org/10.1042/bst20200466, doi:10.1042/bst20200466. This article has 17 citations and is from a peer-reviewed journal.</w:t>
      </w:r>
    </w:p>
    <w:p>
      <w:pPr>
        <w:numPr>
          <w:ilvl w:val="0"/>
          <w:numId w:val="1001"/>
        </w:numPr>
      </w:pPr>
      <w:r>
        <w:t xml:space="preserve">(sophocleous2021thestructureand pages 17-17): Georgios Sophocleous, D. Owen, and H. Mott. The structure and function of protein kinase c-related kinases (prks). Biochemical Society Transactions, 49:217-235, Feb 2021. URL: https://doi.org/10.1042/bst20200466, doi:10.1042/bst20200466. This article has 17 citations and is from a peer-reviewed journal.</w:t>
      </w:r>
    </w:p>
    <w:p>
      <w:pPr>
        <w:numPr>
          <w:ilvl w:val="0"/>
          <w:numId w:val="1001"/>
        </w:numPr>
      </w:pPr>
      <w:r>
        <w:t xml:space="preserve">(unknownauthors2020developmentofpkn2 pages 29-34): Development of PKN2 Chemical probes to enable drug discovery</w:t>
      </w:r>
    </w:p>
    <w:p>
      <w:pPr>
        <w:numPr>
          <w:ilvl w:val="0"/>
          <w:numId w:val="1001"/>
        </w:numPr>
      </w:pPr>
      <w:r>
        <w:t xml:space="preserve">(unknownauthors2022phostagbasedscreensidentify pages 73-78): Phos-Tag-Based Screens Identify Novel Therapeutic Targets in Ovarian Cancer and Pancreatic Cancer</w:t>
      </w:r>
    </w:p>
    <w:p>
      <w:pPr>
        <w:numPr>
          <w:ilvl w:val="0"/>
          <w:numId w:val="1001"/>
        </w:numPr>
      </w:pPr>
      <w:r>
        <w:t xml:space="preserve">(unknownauthors2022phostagbasedscreensidentify pages 78-82): Phos-Tag-Based Screens Identify Novel Therapeutic Targets in Ovarian Cancer and Pancreatic Cancer</w:t>
      </w:r>
    </w:p>
    <w:p>
      <w:pPr>
        <w:numPr>
          <w:ilvl w:val="0"/>
          <w:numId w:val="1001"/>
        </w:numPr>
      </w:pPr>
      <w:r>
        <w:t xml:space="preserve">(arencibia2013agcproteinkinases pages 3-4):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(asquith2022identificationof4‐anilinoquin(az)oline pages 1-3): Christopher R. M. Asquith, Louisa Temme, Michael P. East, Tuomo Laitinen, Julie Pickett, Frank E. Kwarcinski, Parvathi Sinha, Carrow I. Wells, Gary L. Johnson, Reena Zutshi, and David H. Drewry. Identification of 4‐anilinoquin(az)oline as a cell‐active protein kinase novel 3 (pkn3) inhibitor chemotype**. ChemMedChem, May 2022. URL: https://doi.org/10.1002/cmdc.202200161, doi:10.1002/cmdc.202200161. This article has 2 citations and is from a peer-reviewed journal.</w:t>
      </w:r>
    </w:p>
    <w:p>
      <w:pPr>
        <w:numPr>
          <w:ilvl w:val="0"/>
          <w:numId w:val="1001"/>
        </w:numPr>
      </w:pPr>
      <w:r>
        <w:t xml:space="preserve">(sophocleous2021thestructureand pages 16-17): Georgios Sophocleous, D. Owen, and H. Mott. The structure and function of protein kinase c-related kinases (prks). Biochemical Society Transactions, 49:217-235, Feb 2021. URL: https://doi.org/10.1042/bst20200466, doi:10.1042/bst20200466. This article has 17 citations and is from a peer-reviewed journal.</w:t>
      </w:r>
    </w:p>
    <w:p>
      <w:pPr>
        <w:numPr>
          <w:ilvl w:val="0"/>
          <w:numId w:val="1001"/>
        </w:numPr>
      </w:pPr>
      <w:r>
        <w:t xml:space="preserve">(thauerer2014proteinkinasecrelated pages 2-3): Bettina Thauerer, Stephanie zur Nedden, and Gabriele Baier-Bitterlich. Protein kinase c-related kinase (pkn/prk). potential key-role for pkn1 in protection of hypoxic neurons. Current Neuropharmacology, 12:213-218, May 2014. URL: https://doi.org/10.2174/1570159x11666131225000518, doi:10.2174/1570159x11666131225000518. This article has 21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2025-07-02T17:27:09Z</dcterms:created>
  <dcterms:modified xsi:type="dcterms:W3CDTF">2025-07-02T17:27:09Z</dcterms:modified>
</cp:coreProperties>
</file>

<file path=docProps/custom.xml><?xml version="1.0" encoding="utf-8"?>
<Properties xmlns="http://schemas.openxmlformats.org/officeDocument/2006/custom-properties" xmlns:vt="http://schemas.openxmlformats.org/officeDocument/2006/docPropsVTypes"/>
</file>