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Kinase group: CaMK-like branch → MAPK-activated protein kinase (MAPKAPK) family → MK2/3 sub-family (cargnello2011activationandfunction pages 12-13).</w:t>
      </w:r>
      <w:r>
        <w:br/>
      </w:r>
      <w:r>
        <w:t xml:space="preserve">• MAPKAPK3 shares ≈75 % amino-acid identity with MAPKAPK2 and ≈46 % with MAPKAPK5, confirming its closest paralogue is MAPKAPK2 (unknownauthors2014mitogenactivatedproteinkinaseactivated pages 22-28).</w:t>
      </w:r>
      <w:r>
        <w:br/>
      </w:r>
      <w:r>
        <w:t xml:space="preserve">• Documented orthologs span Mus musculus, Rattus norvegicus, Danio rerio, Xenopus species, Drosophila melanogaster and Caenorhabditis elegans, retaining ~60 % sequence similarity in invertebrates (unknownauthors2014mitogenactivatedproteinkinaseactivated pages 22-28).</w:t>
      </w:r>
      <w:r>
        <w:br/>
      </w:r>
      <w:r>
        <w:t xml:space="preserve">• A conserved basic D-domain embedded in the C-terminal tail mediates docking to p38α/β and atypical ERK3/4 MAPKs, illustrating evolutionary conservation of MAPK→MAPKAPK interaction motifs (cargnello2011activationandfunction pages 9-10).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→ ADP + [protein]-O-phospho-Ser/Thr (unknownauthors2014mitogenactivatedproteinkinaseactivated pages 69-72).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Mg²⁺ to coordinate ATP within the active site (unknownauthors2014mitogenactivatedproteinkinaseactivated pages 28-31).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Preferred consensus: Φ-X-Arg-X₂-Ser, where Φ is a bulky hydrophobic residue (unknownauthors2014mitogenactivatedproteinkinaseactivated pages 69-72).</w:t>
      </w:r>
      <w:r>
        <w:br/>
      </w:r>
      <w:r>
        <w:t xml:space="preserve">• Basic residues at −3/−2 positions enhance recognition, paralleling MAPKAPK2 selectivity (cargnello2011activationandfunction pages 21-23).</w:t>
      </w:r>
      <w:r>
        <w:br/>
      </w:r>
      <w:r>
        <w:t xml:space="preserve">• Verified cellular substrates include HSP27/HSPB1, tristetraprolin (TTP/ZFP36), CREB, HSF-1, TAB3, keratins-18/20, RCSD1 and hnRNP A1 (cheng2010high‐resolutioncrystalstructure pages 1-2, unknownauthors2014mitogenactivatedproteinkinaseactivated pages 69-72).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Domain organisation: N-terminal proline-rich SH3-binding segment → catalytic kinase domain (residues ~45-350) → C-terminal regulatory tail containing bipartite NLS (KK-X₁₀-KRRKK) and phosphorylation-regulated NES (MTSALATMRV) (unknownauthors2014mitogenactivatedproteinkinaseactivated pages 22-28).</w:t>
      </w:r>
      <w:r>
        <w:br/>
      </w:r>
      <w:r>
        <w:t xml:space="preserve">• Crystal structure: 1.9 Å MK3-pyrrolopyridinone complex (PDB 2JBO) displays canonical bilobal fold; key catalytic residues Lys73 (β3), Glu84 (αC) and Asp187 (HRD) align for phosphotransfer (cheng2010high‐resolutioncrystalstructure pages 1-2).</w:t>
      </w:r>
      <w:r>
        <w:br/>
      </w:r>
      <w:r>
        <w:t xml:space="preserve">• P-loop (Gly51-Gly56, GXGXXG) caps the nucleotide and exhibits conformational flexibility (cheng2010high‐resolutioncrystalstructure pages 1-2).</w:t>
      </w:r>
      <w:r>
        <w:br/>
      </w:r>
      <w:r>
        <w:t xml:space="preserve">• Activation segment (DFG→APE) harbours the regulatory threonine analogous to Thr222 in MK2; additional regulatory residues correspond to Ser272 and Thr334 of MK2 (unknownauthors2014mitogenactivatedproteinkinaseactivated pages 28-31).</w:t>
      </w:r>
      <w:r>
        <w:br/>
      </w:r>
      <w:r>
        <w:t xml:space="preserve">• Structural homology with MK2 underpins use of MK3 as a surrogate template for inhibitor design (cheng2010high‐resolutioncrystalstructure pages 1-2).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Upstream kinases: stress-activated p38α/β phosphorylate the activation-loop threonine and auxiliary sites within the C-lobe and hinge, generating full catalytic activity (unknownauthors2014mitogenactivatedproteinkinaseactivated pages 28-31).</w:t>
      </w:r>
      <w:r>
        <w:br/>
      </w:r>
      <w:r>
        <w:t xml:space="preserve">• Alternative pathway: group I PAKs → ERK3/ERK4 → MAPKAPK3 defines a PAK-ERK3/4-MK3 cascade (unknownauthors2014mitogenactivatedproteinkinaseactivated pages 69-72).</w:t>
      </w:r>
      <w:r>
        <w:br/>
      </w:r>
      <w:r>
        <w:t xml:space="preserve">• Docking: basic D-domain within the NLS mediates high-affinity binding to p38; phosphorylation near this motif modulates complex stability (cargnello2011activationandfunction pages 9-10).</w:t>
      </w:r>
      <w:r>
        <w:br/>
      </w:r>
      <w:r>
        <w:t xml:space="preserve">• Phosphorylation-dependent exposure of the NES drives stress-induced nuclear export; dephosphorylated kinase remains predominantly nuclear (unknownauthors2014mitogenactivatedproteinkinaseactivated pages 22-28).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Expression: ubiquitous across tissues, although overall abundance and catalytic output are lower than MAPKAPK2 (unknownauthors2014mitogenactivatedproteinkinaseactivated pages 22-28).</w:t>
      </w:r>
      <w:r>
        <w:br/>
      </w:r>
      <w:r>
        <w:t xml:space="preserve">• Biological roles: mediates cytokine (TNF, IL-6) production, regulates endocytosis, cell migration, chromatin remodelling and transcription during stress responses (unknownauthors2014mitogenactivatedproteinkinaseactivated pages 69-72).</w:t>
      </w:r>
      <w:r>
        <w:br/>
      </w:r>
      <w:r>
        <w:t xml:space="preserve">• HSP27 phosphorylation disrupts sHSP oligomers, reducing chaperone capacity under oxidative stress (unknownauthors2014mitogenactivatedproteinkinaseactivated pages 69-72).</w:t>
      </w:r>
      <w:r>
        <w:br/>
      </w:r>
      <w:r>
        <w:t xml:space="preserve">• Phosphorylation of tristetraprolin stabilises pro-inflammatory mRNAs, linking MK3 to TNFα regulation (cheng2010high‐resolutioncrystalstructure pages 1-2).</w:t>
      </w:r>
      <w:r>
        <w:br/>
      </w:r>
      <w:r>
        <w:t xml:space="preserve">• Dynamic localisation: full-length isoform is nuclear in quiescent cells and translocates to cytoplasm upon stress; a shorter splice variant lacking NLS/NES is constitutively cytoplasmic (unknownauthors2014mitogenactivatedproteinkinaseactivated pages 22-28).</w:t>
      </w:r>
      <w:r>
        <w:br/>
      </w:r>
      <w:r>
        <w:t xml:space="preserve">• Signalling network: upstream p38α/β and ERK3/4; downstream substrates include HSP27, TTP, CREB, HSF-1, TAB3, keratins-18/20, RCSD1 and hnRNP A1 (unknownauthors2014mitogenactivatedproteinkinaseactivated pages 69-72, cheng2010high‐resolutioncrystalstructure pages 1-2).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A high-affinity pyrrolopyridinone compound co-crystallised with MK3 occupies the ATP hinge region (cheng2010high‐resolutioncrystalstructure pages 1-2).</w:t>
      </w:r>
      <w:r>
        <w:br/>
      </w:r>
      <w:r>
        <w:t xml:space="preserve">• Additional ATP-competitive and emerging allosteric inhibitors targeting the p38-MK2/3 axis are under preclinical exploration for anti-inflammatory therapy (unknownauthors2014mitogenactivatedproteinkinaseactivated pages 69-72).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MK3 contributes to inflammatory and cardiac stress pathways; MK2-null mice studies show MK3 partially compensates for TNFα regulation, underscoring its therapeutic relevance in inflammation (cheng2010high‐resolutioncrystalstructure pages 1-2, unknownauthors2014mitogenactivatedproteinkinaseactivated pages 69-72).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(unknownauthors2014mitogenactivatedproteinkinaseactivated pages 69-72): Mitogen-activated protein kinase-activated protein kinase 5-Structure, function and inhibition</w:t>
      </w:r>
    </w:p>
    <w:p>
      <w:pPr>
        <w:numPr>
          <w:ilvl w:val="0"/>
          <w:numId w:val="1001"/>
        </w:numPr>
      </w:pPr>
      <w:r>
        <w:t xml:space="preserve">(cargnello2011activationandfunction pages 21-23): Marie Cargnello and Philippe P. Roux. Activation and function of the mapks and their substrates, the mapk-activated protein kinases. Microbiology and Molecular Biology Reviews, 75:50-83, Mar 2011. URL: https://doi.org/10.1128/mmbr.00031-10, doi:10.1128/mmbr.00031-10. This article has 4045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(cheng2010high‐resolutioncrystalstructure pages 1-2): Robert Cheng, Brunella Felicetti, Shilpa Palan, Ian Toogood‐Johnson, Christoph Scheich, John Barker, Mark Whittaker, and Thomas Hesterkamp. High‐resolution crystal structure of human mapkap kinase 3 in complex with a high affinity ligand. Protein Science, 19:168-173, Dec 2010. URL: https://doi.org/10.1002/pro.294, doi:10.1002/pro.294. This article has 28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(unknownauthors2014mitogenactivatedproteinkinaseactivated pages 22-28): Mitogen-activated protein kinase-activated protein kinase 5-Structure, function and inhibition</w:t>
      </w:r>
    </w:p>
    <w:p>
      <w:pPr>
        <w:numPr>
          <w:ilvl w:val="0"/>
          <w:numId w:val="1001"/>
        </w:numPr>
      </w:pPr>
      <w:r>
        <w:t xml:space="preserve">(unknownauthors2014mitogenactivatedproteinkinaseactivated pages 28-31): Mitogen-activated protein kinase-activated protein kinase 5-Structure, function and inhibition</w:t>
      </w:r>
    </w:p>
    <w:p>
      <w:pPr>
        <w:numPr>
          <w:ilvl w:val="0"/>
          <w:numId w:val="1001"/>
        </w:numPr>
      </w:pPr>
      <w:r>
        <w:t xml:space="preserve">(cargnello2011activationandfunction pages 12-13): Marie Cargnello and Philippe P. Roux. Activation and function of the mapks and their substrates, the mapk-activated protein kinases. Microbiology and Molecular Biology Reviews, 75:50-83, Mar 2011. URL: https://doi.org/10.1128/mmbr.00031-10, doi:10.1128/mmbr.00031-10. This article has 4045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(cargnello2011activationandfunction pages 9-10): Marie Cargnello and Philippe P. Roux. Activation and function of the mapks and their substrates, the mapk-activated protein kinases. Microbiology and Molecular Biology Reviews, 75:50-83, Mar 2011. URL: https://doi.org/10.1128/mmbr.00031-10, doi:10.1128/mmbr.00031-10. This article has 4045 citations and is from a domain leading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2025-07-02T17:27:04Z</dcterms:created>
  <dcterms:modified xsi:type="dcterms:W3CDTF">2025-07-02T17:27:04Z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