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CMGC group, cyclin-dependent kinase-like (CDKL1-5) sub-family, positioned on a branch distinct from classical CDKs (canning2018cdklfamilykinases pages 3-4, unknownauthorsUnknownyearpřípravanovýchsloučenin pages 24-28).</w:t>
      </w:r>
      <w:r>
        <w:br/>
      </w:r>
      <w:r>
        <w:t xml:space="preserve">• Comparative genomics traces CDKL4 to an ancestral CDKL locus that duplicated to generate the five human paralogs; orthology is retained across metazoans (martincarrascosa2025aphylogeneticanalysis pages 1-2).</w:t>
      </w:r>
      <w:r>
        <w:br/>
      </w:r>
      <w:r>
        <w:t xml:space="preserve">• A conserved invertebrate ortholog is C. elegans CDKL-1, underscoring deep evolutionary conservation of the sub-family (canning2018cdklfamilykinases pages 1-3).</w:t>
      </w:r>
    </w:p>
    <w:bookmarkEnd w:id="9"/>
    <w:bookmarkStart w:id="10" w:name="reaction-catalyzed"/>
    <w:p>
      <w:pPr>
        <w:pStyle w:val="Heading2"/>
      </w:pPr>
      <w:r>
        <w:t xml:space="preserve">Reaction Catalyzed</w:t>
      </w:r>
    </w:p>
    <w:p>
      <w:pPr>
        <w:pStyle w:val="FirstParagraph"/>
      </w:pPr>
      <w:r>
        <w:t xml:space="preserve">ATP + protein-Ser/Thr → ADP + protein-Ser/Thr-P (unknownauthorsUnknownyearpřípravanovýchsloučenin pages 24-28).</w:t>
      </w:r>
    </w:p>
    <w:bookmarkEnd w:id="10"/>
    <w:bookmarkStart w:id="11" w:name="cofactor-requirements"/>
    <w:p>
      <w:pPr>
        <w:pStyle w:val="Heading2"/>
      </w:pPr>
      <w:r>
        <w:t xml:space="preserve">Cofactor Requirements</w:t>
      </w:r>
    </w:p>
    <w:p>
      <w:pPr>
        <w:pStyle w:val="FirstParagraph"/>
      </w:pPr>
      <w:r>
        <w:t xml:space="preserve">Catalysis is presumed to require a divalent metal ion (Mg²⁺/Mn²⁺) typical of serine/threonine kinases; no direct biochemical confirmation is yet available (unknownauthorsUnknownyearpřípravanovýchsloučenin pages 24-28).</w:t>
      </w:r>
    </w:p>
    <w:bookmarkEnd w:id="11"/>
    <w:bookmarkStart w:id="12" w:name="substrate-specificity"/>
    <w:p>
      <w:pPr>
        <w:pStyle w:val="Heading2"/>
      </w:pPr>
      <w:r>
        <w:t xml:space="preserve">Substrate Specificity</w:t>
      </w:r>
    </w:p>
    <w:p>
      <w:pPr>
        <w:pStyle w:val="FirstParagraph"/>
      </w:pPr>
      <w:r>
        <w:t xml:space="preserve">No consensus phosphorylation motif or endogenous substrates have been identified; large-scale substrate-profiling data are currently lacking for CDKL4 (unknownauthorsUnknownyearpřípravanovýchsloučenin pages 24-28).</w:t>
      </w:r>
    </w:p>
    <w:bookmarkEnd w:id="12"/>
    <w:bookmarkStart w:id="13" w:name="structure"/>
    <w:p>
      <w:pPr>
        <w:pStyle w:val="Heading2"/>
      </w:pPr>
      <w:r>
        <w:t xml:space="preserve">Structure</w:t>
      </w:r>
    </w:p>
    <w:p>
      <w:pPr>
        <w:pStyle w:val="FirstParagraph"/>
      </w:pPr>
      <w:r>
        <w:t xml:space="preserve">• Domain organisation: N-terminal serine/threonine kinase fold with canonical VAIK lysine, HRD catalytic triad, DFG motif and a Thr-X-Tyr activation segment essential for activity (unknownauthorsUnknownyearpřípravanovýchsloučenin pages 24-28).</w:t>
      </w:r>
      <w:r>
        <w:br/>
      </w:r>
      <w:r>
        <w:t xml:space="preserve">• CDKL-specific element: an extended C-terminal αJ helix occludes the surface equivalent to the MAPK docking groove, a feature resolved for other CDKLs and conserved in CDKL4 by sequence (canning2018cdklfamilykinases pages 3-4).</w:t>
      </w:r>
      <w:r>
        <w:br/>
      </w:r>
      <w:r>
        <w:t xml:space="preserve">• A putative cyclin-binding helix is encoded but has not been shown to engage cyclins (unknownauthorsUnknownyearpřípravanovýchsloučenin pages 24-28).</w:t>
      </w:r>
      <w:r>
        <w:br/>
      </w:r>
      <w:r>
        <w:t xml:space="preserve">• No peer-reviewed crystal, cryo-EM or AlphaFold structural study of CDKL4 has been published (unknownauthorsUnknownyearpřípravanovýchsloučenin pages 24-28).</w:t>
      </w:r>
    </w:p>
    <w:bookmarkEnd w:id="13"/>
    <w:bookmarkStart w:id="14" w:name="regulation"/>
    <w:p>
      <w:pPr>
        <w:pStyle w:val="Heading2"/>
      </w:pPr>
      <w:r>
        <w:t xml:space="preserve">Regulation</w:t>
      </w:r>
    </w:p>
    <w:p>
      <w:pPr>
        <w:pStyle w:val="FirstParagraph"/>
      </w:pPr>
      <w:r>
        <w:t xml:space="preserve">• Activation requires dual phosphorylation of the TXY motif; the upstream kinase(s) remain unidentified (unknownauthorsUnknownyearpřípravanovýchsloučenin pages 24-28).</w:t>
      </w:r>
      <w:r>
        <w:br/>
      </w:r>
      <w:r>
        <w:t xml:space="preserve">• Despite a conserved cyclin-binding motif, no physical cyclin interaction or alternative regulatory partner has been demonstrated (unknownauthorsUnknownyearpřípravanovýchsloučenin pages 24-28).</w:t>
      </w:r>
      <w:r>
        <w:br/>
      </w:r>
      <w:r>
        <w:t xml:space="preserve">• Additional post-translational modifications or allosteric mechanisms have not been reported (unknownauthorsUnknownyearpřípravanovýchsloučenin pages 24-28).</w:t>
      </w:r>
    </w:p>
    <w:bookmarkEnd w:id="14"/>
    <w:bookmarkStart w:id="15" w:name="function"/>
    <w:p>
      <w:pPr>
        <w:pStyle w:val="Heading2"/>
      </w:pPr>
      <w:r>
        <w:t xml:space="preserve">Function</w:t>
      </w:r>
    </w:p>
    <w:p>
      <w:pPr>
        <w:pStyle w:val="FirstParagraph"/>
      </w:pPr>
      <w:r>
        <w:t xml:space="preserve">Physiological role, tissue-specific expression, signalling partners and downstream substrates are presently uncharacterised; no functional studies have yet been published (unknownauthorsUnknownyearpřípravanovýchsloučenin pages 24-28).</w:t>
      </w:r>
    </w:p>
    <w:bookmarkEnd w:id="15"/>
    <w:bookmarkStart w:id="16" w:name="other-comments"/>
    <w:p>
      <w:pPr>
        <w:pStyle w:val="Heading2"/>
      </w:pPr>
      <w:r>
        <w:t xml:space="preserve">Other Comments</w:t>
      </w:r>
    </w:p>
    <w:p>
      <w:pPr>
        <w:pStyle w:val="FirstParagraph"/>
      </w:pPr>
      <w:r>
        <w:t xml:space="preserve">• No disease-associated mutations or clinical links have been described (unknownauthorsUnknownyearpřípravanovýchsloučenin pages 24-28).</w:t>
      </w:r>
      <w:r>
        <w:br/>
      </w:r>
      <w:r>
        <w:t xml:space="preserve">• No selective chemical inhibitors are reported; CDKL4 is highlighted as an under-explored kinase suitable for future probe development (unknownauthorsUnknownyearpřípravanovýchsloučenin pages 24-28).</w:t>
      </w:r>
    </w:p>
    <w:p>
      <w:pPr>
        <w:pStyle w:val="BodyText"/>
      </w:pPr>
      <w:r>
        <w:t xml:space="preserve">References</w:t>
      </w:r>
    </w:p>
    <w:p>
      <w:pPr>
        <w:numPr>
          <w:ilvl w:val="0"/>
          <w:numId w:val="1001"/>
        </w:numPr>
      </w:pPr>
      <w:r>
        <w:t xml:space="preserve">(unknownauthorsUnknownyearpřípravanovýchsloučenin pages 24-28): Příprava nových sloučenin na bázi thieno pyridinu</w:t>
      </w:r>
    </w:p>
    <w:p>
      <w:pPr>
        <w:numPr>
          <w:ilvl w:val="0"/>
          <w:numId w:val="1001"/>
        </w:numPr>
      </w:pPr>
      <w:r>
        <w:t xml:space="preserve">(canning2018cdklfamilykinases pages 3-4): P. Canning, Kwangjin Park, J. Gonçalves, Chunmei Li, Conor J. Howard, T. Sharpe, L. Holt, L. Pelletier, A. Bullock, and M.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1"/>
        </w:numPr>
      </w:pPr>
      <w:r>
        <w:t xml:space="preserve">(canning2018cdklfamilykinases pages 1-3): P. Canning, Kwangjin Park, J. Gonçalves, Chunmei Li, Conor J. Howard, T. Sharpe, L. Holt, L. Pelletier, A. Bullock, and M.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1"/>
        </w:numPr>
      </w:pPr>
      <w:r>
        <w:t xml:space="preserve">(martincarrascosa2025aphylogeneticanalysis pages 1-2):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2025-07-02T17:27:21Z</dcterms:created>
  <dcterms:modified xsi:type="dcterms:W3CDTF">2025-07-02T17:27:21Z</dcterms:modified>
</cp:coreProperties>
</file>

<file path=docProps/custom.xml><?xml version="1.0" encoding="utf-8"?>
<Properties xmlns="http://schemas.openxmlformats.org/officeDocument/2006/custom-properties" xmlns:vt="http://schemas.openxmlformats.org/officeDocument/2006/docPropsVTypes"/>
</file>