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Member of the mixed-lineage kinase (MLK) subfamily within the MAP3K tier of the human kinome; MLK4 groups with MLK1–3 and clusters closest to the DLK and ZAK subfamilies based on kinase-domain homology (unknownauthors2013theregulatoryrole pages 34-39).</w:t>
      </w:r>
      <w:r>
        <w:br/>
      </w:r>
      <w:r>
        <w:t xml:space="preserve">• The leucine-zipper region of the MLK4β isoform shares 66 % identity with MLK3, supporting heterodimerization within the subfamily (unknownauthors2013theregulatoryrole pages 103-107).</w:t>
      </w:r>
      <w:r>
        <w:br/>
      </w:r>
      <w:r>
        <w:t xml:space="preserve">• Vertebrate and invertebrate orthologs were not detailed in the available literature.</w:t>
      </w:r>
    </w:p>
    <w:p>
      <w:pPr>
        <w:pStyle w:val="BodyText"/>
      </w:pPr>
      <w:r>
        <w:t xml:space="preserve">Reaction Catalyzed</w:t>
      </w:r>
      <w:r>
        <w:br/>
      </w:r>
      <w:r>
        <w:t xml:space="preserve">ATP + [protein]-Ser/Thr → ADP + [protein]-Ser/Thr-P (unknownauthors2013theregulatoryrole pages 44-50).</w:t>
      </w:r>
    </w:p>
    <w:p>
      <w:pPr>
        <w:pStyle w:val="BodyText"/>
      </w:pPr>
      <w:r>
        <w:t xml:space="preserve">Cofactor Requirements</w:t>
      </w:r>
      <w:r>
        <w:br/>
      </w:r>
      <w:r>
        <w:t xml:space="preserve">No experimental study reporting divalent metal ion dependence for MLK4 activity has been identified (unknownauthors2013theregulatoryrole pages 44-50).</w:t>
      </w:r>
    </w:p>
    <w:p>
      <w:pPr>
        <w:pStyle w:val="BodyText"/>
      </w:pPr>
      <w:r>
        <w:t xml:space="preserve">Substrate Specificity</w:t>
      </w:r>
      <w:r>
        <w:br/>
      </w:r>
      <w:r>
        <w:t xml:space="preserve">A consensus phosphorylation motif for MLK4 has not been defined; only the intrinsic TTXXS activation-loop motif required for MLK family autophosphorylation is reported (unknownauthors2013theregulatoryrole pages 44-50).</w:t>
      </w:r>
    </w:p>
    <w:p>
      <w:pPr>
        <w:pStyle w:val="BodyText"/>
      </w:pPr>
      <w:r>
        <w:t xml:space="preserve">Structure</w:t>
      </w:r>
      <w:r>
        <w:br/>
      </w:r>
      <w:r>
        <w:t xml:space="preserve">• Domain organization: N-terminal SH3 (autoinhibitory), catalytic kinase domain (residues 63–343), tandem leucine-zipper/basic region (dimerization), CRIB motif (Cdc42/Rac binding), and proline-rich C-terminus (unknownauthors2013theregulatoryrole pages 44-50).</w:t>
      </w:r>
      <w:r>
        <w:br/>
      </w:r>
      <w:r>
        <w:t xml:space="preserve">• Crystal structure: isolated kinase domain solved at 2.29 Å (PDB 4UYA) displays canonical bilobal fold with intact HRD, DFG and GxGxxG motifs; activating mutations E314K and Y330H perturb the DFG motif and catalytic spine architecture (marusiak2016recurrentmlk4lossoffunction pages 21-25).</w:t>
      </w:r>
      <w:r>
        <w:br/>
      </w:r>
      <w:r>
        <w:t xml:space="preserve">• Regulatory elements: KAAR ATP-binding sequence, TTXXS activation loop, and hydrophobic spine conserved; leucine-zipper mediates head-to-head dimerization essential for trans-autophosphorylation (unknownauthors2013theregulatoryrole pages 44-50).</w:t>
      </w:r>
      <w:r>
        <w:br/>
      </w:r>
      <w:r>
        <w:t xml:space="preserve">• No full-length experimental structure is available; the proline-rich tail remains structurally uncharacterized (marusiak2016recurrentmlk4lossoffunction pages 21-25).</w:t>
      </w:r>
    </w:p>
    <w:p>
      <w:pPr>
        <w:pStyle w:val="BodyText"/>
      </w:pPr>
      <w:r>
        <w:t xml:space="preserve">Regulation</w:t>
      </w:r>
      <w:r>
        <w:br/>
      </w:r>
      <w:r>
        <w:t xml:space="preserve">• Autophosphorylation on the TTXXS activation motif is required for catalytic competence (unknownauthors2013theregulatoryrole pages 44-50).</w:t>
      </w:r>
      <w:r>
        <w:br/>
      </w:r>
      <w:r>
        <w:t xml:space="preserve">• CHIP E3 ubiquitin ligase ubiquitinates MLK4β, promoting proteasomal degradation under osmotic and heat stress (unknownauthors2015thee3ligase pages 27-33).</w:t>
      </w:r>
      <w:r>
        <w:br/>
      </w:r>
      <w:r>
        <w:t xml:space="preserve">• MLK4β forms heterodimers with MLK3 via the leucine-zipper, sterically blocking Cdc42 access to the MLK3 CRIB domain and thereby inhibiting MLK3 activation (unknownauthors2013theregulatoryrole pages 103-107).</w:t>
      </w:r>
      <w:r>
        <w:br/>
      </w:r>
      <w:r>
        <w:t xml:space="preserve">• Mutations modulate activity: H261Y, G291E, R470C, R555* increase kinase activity; E314K and Y330H abolish activity by destabilizing catalytic motifs (unknownauthors2013theregulatoryrole pages 103-107, marusiak2016recurrentmlk4lossoffunction pages 21-25).</w:t>
      </w:r>
    </w:p>
    <w:p>
      <w:pPr>
        <w:pStyle w:val="BodyText"/>
      </w:pPr>
      <w:r>
        <w:t xml:space="preserve">Function</w:t>
      </w:r>
      <w:r>
        <w:br/>
      </w:r>
      <w:r>
        <w:t xml:space="preserve">• Expression: high basal levels in HCT116 colon carcinoma cells; robust expression in ovarian cancer lines SKOV3 and HEY1B (unknownauthors2013theregulatoryrole pages 98-103, unknownauthors2013theregulatoryrole pages 103-107).</w:t>
      </w:r>
      <w:r>
        <w:br/>
      </w:r>
      <w:r>
        <w:t xml:space="preserve">• Upstream regulators: small GTPase Cdc42 (binding impeded when MLK4β–MLK3 heterodimers form) and CHIP-mediated ubiquitination (unknownauthors2013theregulatoryrole pages 103-107, unknownauthors2015thee3ligase pages 27-33).</w:t>
      </w:r>
      <w:r>
        <w:br/>
      </w:r>
      <w:r>
        <w:t xml:space="preserve">• Downstream signalling: MLK4β inhibits MLK3, resulting in reduced ERK, JNK and p38 activation; elevates basal IκBα levels and suppresses NF-κB transcription in HEK293 cells (unknownauthors2013theregulatoryrole pages 103-107).</w:t>
      </w:r>
      <w:r>
        <w:br/>
      </w:r>
      <w:r>
        <w:t xml:space="preserve">• Pathway context: functions as a negative regulator of Toll-like receptor-4 signalling at basal state but does not block TNFα- or LPS-induced NF-κB activation (unknownauthors2013theregulatoryrole pages 103-107).</w:t>
      </w:r>
      <w:r>
        <w:br/>
      </w:r>
      <w:r>
        <w:t xml:space="preserve">• Cellular processes: in ovarian cancer cells, MLK4β lowers MMP-2 and MMP-9 activities, limiting extracellular-matrix degradation and invasion (unknownauthors2013theregulatoryrole pages 98-103).</w:t>
      </w:r>
    </w:p>
    <w:p>
      <w:pPr>
        <w:pStyle w:val="BodyText"/>
      </w:pPr>
      <w:r>
        <w:t xml:space="preserve">Other Comments</w:t>
      </w:r>
      <w:r>
        <w:br/>
      </w:r>
      <w:r>
        <w:t xml:space="preserve">• Somatic mutations: activating—H261Y, G291E, R470C, R555* (colon cancer); loss-of-function—E314K, Y330H, D348A (colon cancer) (unknownauthors2013theregulatoryrole pages 103-107, marusiak2016recurrentmlk4lossoffunction pages 5-9).</w:t>
      </w:r>
      <w:r>
        <w:br/>
      </w:r>
      <w:r>
        <w:t xml:space="preserve">• Wild-type MLK4 re-expression in MLK4-mutant colorectal cancer lines reduces cell viability, anchorage-independent growth and in vivo tumor formation by restoring JNK signalling and up-regulating p21 and p15 (marusiak2016recurrentmlk4lossoffunction pages 21-25).</w:t>
      </w:r>
      <w:r>
        <w:br/>
      </w:r>
      <w:r>
        <w:t xml:space="preserve">• Elevated MLK4 expression correlates with enhanced migration and invasiveness in breast cancer models; interactions with oncogenic RAS and microsatellite instability influence colorectal carcinoma prognosis (nguyen2022map3kfamilyreview pages 18-18).</w:t>
      </w:r>
    </w:p>
    <w:p>
      <w:pPr>
        <w:pStyle w:val="BodyText"/>
      </w:pPr>
      <w:r>
        <w:t xml:space="preserve">References</w:t>
      </w:r>
    </w:p>
    <w:p>
      <w:pPr>
        <w:numPr>
          <w:ilvl w:val="0"/>
          <w:numId w:val="1001"/>
        </w:numPr>
      </w:pPr>
      <w:r>
        <w:t xml:space="preserve">(unknownauthors2013theregulatoryrole pages 103-107): The regulatory role of mixed lineage kinase 4 beta in MAPK signaling and ovarian cancer cell invasion</w:t>
      </w:r>
    </w:p>
    <w:p>
      <w:pPr>
        <w:numPr>
          <w:ilvl w:val="0"/>
          <w:numId w:val="1001"/>
        </w:numPr>
      </w:pPr>
      <w:r>
        <w:t xml:space="preserve">(unknownauthors2013theregulatoryrole pages 98-103): The regulatory role of mixed lineage kinase 4 beta in MAPK signaling and ovarian cancer cell invasion</w:t>
      </w:r>
    </w:p>
    <w:p>
      <w:pPr>
        <w:numPr>
          <w:ilvl w:val="0"/>
          <w:numId w:val="1001"/>
        </w:numPr>
      </w:pPr>
      <w:r>
        <w:t xml:space="preserve">(marusiak2016recurrentmlk4lossoffunction pages 21-25): Anna A. Marusiak, Natalie L. Stephenson, Hayeon Baik, Eleanor W. Trotter, Yaoyong Li, Karen Blyth, Susan Mason, Phil Chapman, Lorena A. Puto, Jon A. Read, Claire Brassington, Hannah K. Pollard, Chris Phillips, Isabelle Green, Ross Overman, Matthew Collier, Ewelina Testoni, Crispin J. Miller, Tony Hunter, Owen J. Sansom, and John Brognard. Recurrent mlk4 loss-of-function mutations suppress jnk signaling to promote colon tumorigenesis. Cancer research, 76 3:724-35, Feb 2016. URL: https://doi.org/10.1158/0008-5472.can-15-0701-t, doi:10.1158/0008-5472.can-15-0701-t. This article has 46 citations and is from a highest quality peer-reviewed journal.</w:t>
      </w:r>
    </w:p>
    <w:p>
      <w:pPr>
        <w:numPr>
          <w:ilvl w:val="0"/>
          <w:numId w:val="1001"/>
        </w:numPr>
      </w:pPr>
      <w:r>
        <w:t xml:space="preserve">(nguyen2022map3kfamilyreview pages 18-18):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(unknownauthors2013theregulatoryrole pages 44-50): The regulatory role of mixed lineage kinase 4 beta in MAPK signaling and ovarian cancer cell invasion</w:t>
      </w:r>
    </w:p>
    <w:p>
      <w:pPr>
        <w:numPr>
          <w:ilvl w:val="0"/>
          <w:numId w:val="1001"/>
        </w:numPr>
      </w:pPr>
      <w:r>
        <w:t xml:space="preserve">(unknownauthors2015thee3ligase pages 27-33): The E3 ligase CHIP mediates ubiquitination and degradation of mixed lineage kinase 3 and mixed lineage kinase 4 beta</w:t>
      </w:r>
    </w:p>
    <w:p>
      <w:pPr>
        <w:numPr>
          <w:ilvl w:val="0"/>
          <w:numId w:val="1001"/>
        </w:numPr>
      </w:pPr>
      <w:r>
        <w:t xml:space="preserve">(marusiak2016recurrentmlk4lossoffunction pages 5-9): Anna A. Marusiak, Natalie L. Stephenson, Hayeon Baik, Eleanor W. Trotter, Yaoyong Li, Karen Blyth, Susan Mason, Phil Chapman, Lorena A. Puto, Jon A. Read, Claire Brassington, Hannah K. Pollard, Chris Phillips, Isabelle Green, Ross Overman, Matthew Collier, Ewelina Testoni, Crispin J. Miller, Tony Hunter, Owen J. Sansom, and John Brognard. Recurrent mlk4 loss-of-function mutations suppress jnk signaling to promote colon tumorigenesis. Cancer research, 76 3:724-35, Feb 2016. URL: https://doi.org/10.1158/0008-5472.can-15-0701-t, doi:10.1158/0008-5472.can-15-0701-t. This article has 46 citations and is from a highest quality peer-reviewed journal.</w:t>
      </w:r>
    </w:p>
    <w:p>
      <w:pPr>
        <w:numPr>
          <w:ilvl w:val="0"/>
          <w:numId w:val="1001"/>
        </w:numPr>
      </w:pPr>
      <w:r>
        <w:t xml:space="preserve">(unknownauthors2013theregulatoryrole pages 34-39): The regulatory role of mixed lineage kinase 4 beta in MAPK signaling and ovarian cancer cell invasion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