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Protein/Gene: Dual serine/threonine and tyrosine protein kinase</w:t>
      </w:r>
      <w:r>
        <w:br/>
      </w:r>
      <w:r>
        <w:t xml:space="preserve">HGNC symbol: DSTYK UniProt: Q6XUX3</w:t>
      </w:r>
      <w:r>
        <w:br/>
      </w:r>
      <w:r>
        <w:t xml:space="preserve">Alternative names: Dusty protein kinase; Receptor-interacting serine/threonine-protein kinase 5 (RIP5/RIPK5); Sugen kinase 496; SGK496; KIAA0472 (peng2006dustyproteinkinases pages 1-2)</w:t>
      </w:r>
    </w:p>
    <w:bookmarkStart w:id="9" w:name="phylogeny"/>
    <w:p>
      <w:pPr>
        <w:pStyle w:val="Heading2"/>
      </w:pPr>
      <w:r>
        <w:t xml:space="preserve">Phylogeny</w:t>
      </w:r>
    </w:p>
    <w:p>
      <w:pPr>
        <w:pStyle w:val="FirstParagraph"/>
      </w:pPr>
      <w:r>
        <w:t xml:space="preserve">Single-copy kinase present in Homo sapiens, Mus musculus, Rattus norvegicus, Gallus gallus and Danio rerio, indicating broad conservation across vertebrates (peng2006dustyproteinkinases pages 1-2, unknownauthors2014dstykkinasedomain pages 7-7, sun2020dstykmutationleads pages 3-4).</w:t>
      </w:r>
      <w:r>
        <w:br/>
      </w:r>
      <w:r>
        <w:t xml:space="preserve">Kinase-domain homology assigns DSTYK to the receptor-interacting protein kinase (RIPK) family within the tyrosine kinase-like (TKL) branch of the human kinome (dong2025dstykphosphorylatessting pages 1-2).</w:t>
      </w:r>
    </w:p>
    <w:bookmarkEnd w:id="9"/>
    <w:bookmarkStart w:id="10" w:name="reaction-catalyzed"/>
    <w:p>
      <w:pPr>
        <w:pStyle w:val="Heading2"/>
      </w:pPr>
      <w:r>
        <w:t xml:space="preserve">Reaction Catalyzed</w:t>
      </w:r>
    </w:p>
    <w:p>
      <w:pPr>
        <w:pStyle w:val="FirstParagraph"/>
      </w:pPr>
      <w:r>
        <w:t xml:space="preserve">Protein-L-Ser/Thr/Tyr + ATP ⇌ Protein-L-Ser/Thr/Tyr-phosphate + ADP + H⁺ (peng2006dustyproteinkinases pages 1-2).</w:t>
      </w:r>
    </w:p>
    <w:bookmarkEnd w:id="10"/>
    <w:bookmarkStart w:id="11" w:name="cofactor-requirements"/>
    <w:p>
      <w:pPr>
        <w:pStyle w:val="Heading2"/>
      </w:pPr>
      <w:r>
        <w:t xml:space="preserve">Cofactor Requirements</w:t>
      </w:r>
    </w:p>
    <w:p>
      <w:pPr>
        <w:pStyle w:val="FirstParagraph"/>
      </w:pPr>
      <w:r>
        <w:t xml:space="preserve">No divalent metal ion requirement has been reported in available experimental literature (dong2025dstykphosphorylatessting pages 2-3).</w:t>
      </w:r>
    </w:p>
    <w:bookmarkEnd w:id="11"/>
    <w:bookmarkStart w:id="12" w:name="substrate-specificity"/>
    <w:p>
      <w:pPr>
        <w:pStyle w:val="Heading2"/>
      </w:pPr>
      <w:r>
        <w:t xml:space="preserve">Substrate Specificity</w:t>
      </w:r>
    </w:p>
    <w:p>
      <w:pPr>
        <w:pStyle w:val="FirstParagraph"/>
      </w:pPr>
      <w:r>
        <w:t xml:space="preserve">Direct, site-specific phosphorylation of STING at Ser366 (dong2025dstykphosphorylatessting pages 5-7).</w:t>
      </w:r>
      <w:r>
        <w:br/>
      </w:r>
      <w:r>
        <w:t xml:space="preserve">Phosphorylates β-catenin at unidentified residues in vitro (zhong2021lossofdstyk pages 4-7).</w:t>
      </w:r>
      <w:r>
        <w:br/>
      </w:r>
      <w:r>
        <w:t xml:space="preserve">A global consensus phosphorylation motif has not been defined.</w:t>
      </w:r>
    </w:p>
    <w:bookmarkEnd w:id="12"/>
    <w:bookmarkStart w:id="13" w:name="structure"/>
    <w:p>
      <w:pPr>
        <w:pStyle w:val="Heading2"/>
      </w:pPr>
      <w:r>
        <w:t xml:space="preserve">Structure</w:t>
      </w:r>
    </w:p>
    <w:p>
      <w:pPr>
        <w:pStyle w:val="FirstParagraph"/>
      </w:pPr>
      <w:r>
        <w:t xml:space="preserve">Domain organisation: two N-terminal non-catalytic regions (NCR1 and NCR2) enriched in cysteines and docking motifs, followed by a divergent eukaryotic protein kinase catalytic domain spanning residues 652-906 (peng2006dustyproteinkinases pages 1-2, sun2020dstykmutationleads pages 3-4).</w:t>
      </w:r>
      <w:r>
        <w:br/>
      </w:r>
      <w:r>
        <w:t xml:space="preserve">No crystallographic structures are available; AlphaFold or comparable models were not reported in current sources (dong2025dstykphosphorylatessting pages 2-3).</w:t>
      </w:r>
      <w:r>
        <w:br/>
      </w:r>
      <w:r>
        <w:t xml:space="preserve">Classical catalytic motifs (VAIK, HRD, DFG) are inferred by homology but have not been experimentally resolved.</w:t>
      </w:r>
      <w:r>
        <w:br/>
      </w:r>
      <w:r>
        <w:t xml:space="preserve">Kinase-dead mutants (K681A, D777A) retain STING binding and endosomal localisation, indicating that catalytic activity is dispensable for docking yet essential for phosphorylation (dong2025dstykphosphorylatessting pages 5-7).</w:t>
      </w:r>
    </w:p>
    <w:bookmarkEnd w:id="13"/>
    <w:bookmarkStart w:id="14" w:name="regulation"/>
    <w:p>
      <w:pPr>
        <w:pStyle w:val="Heading2"/>
      </w:pPr>
      <w:r>
        <w:t xml:space="preserve">Regulation</w:t>
      </w:r>
    </w:p>
    <w:p>
      <w:pPr>
        <w:pStyle w:val="FirstParagraph"/>
      </w:pPr>
      <w:r>
        <w:t xml:space="preserve">TBK1-mediated phosphorylation of DSTYK enhances its capacity to phosphorylate STING after the latter reaches late endosomes (dong2025dstykphosphorylatessting pages 1-2).</w:t>
      </w:r>
      <w:r>
        <w:br/>
      </w:r>
      <w:r>
        <w:t xml:space="preserve">Electrophoretic mobility shifts of endogenous DSTYK suggest additional, unmapped post-translational modifications (unknownauthors2014dstykkinasedomain pages 5-7).</w:t>
      </w:r>
      <w:r>
        <w:br/>
      </w:r>
      <w:r>
        <w:t xml:space="preserve">Subcellular localisation: constitutively associates with Rab7/LAMP1-positive late endosomes; localisation is independent of kinase activity (dong2025dstykphosphorylatessting pages 5-7).</w:t>
      </w:r>
      <w:r>
        <w:br/>
      </w:r>
      <w:r>
        <w:t xml:space="preserve">Allosteric control: physical interaction with STING is maintained in kinase-inactive mutants, separating binding from catalytic activation (dong2025dstykphosphorylatessting pages 5-7).</w:t>
      </w:r>
    </w:p>
    <w:bookmarkEnd w:id="14"/>
    <w:bookmarkStart w:id="15" w:name="function"/>
    <w:p>
      <w:pPr>
        <w:pStyle w:val="Heading2"/>
      </w:pPr>
      <w:r>
        <w:t xml:space="preserve">Function</w:t>
      </w:r>
    </w:p>
    <w:p>
      <w:pPr>
        <w:pStyle w:val="FirstParagraph"/>
      </w:pPr>
      <w:r>
        <w:t xml:space="preserve">Expression: high in innate immune cells (NK cells, dendritic cells, macrophages, neutrophils) and in multiple human lines including HEK293, HeLa, THP-1, A549, HT1080 and Hep-G2 (dong2025dstykphosphorylatessting pages 16-24).</w:t>
      </w:r>
      <w:r>
        <w:br/>
      </w:r>
      <w:r>
        <w:t xml:space="preserve">Innate immunity: at late endosomes DSTYK phosphorylates STING-Ser366, facilitating downstream phosphorylation of TBK1, IRF3, NF-κB p65 and IκBα, thereby driving IFNB, ISG and pro-inflammatory cytokine expression during DNA-virus infection (dong2025dstykphosphorylatessting pages 2-3, dong2025dstykphosphorylatessting pages 16-24).</w:t>
      </w:r>
      <w:r>
        <w:br/>
      </w:r>
      <w:r>
        <w:t xml:space="preserve">Cell death: over-expression triggers both caspase-dependent and caspase-independent death pathways (dong2025dstykphosphorylatessting pages 1-2).</w:t>
      </w:r>
      <w:r>
        <w:br/>
      </w:r>
      <w:r>
        <w:t xml:space="preserve">Wnt signalling and metabolism: phosphorylates β-catenin, lowers β-catenin accumulation and represses Axin2, c-Myc, cyclin D1 and LDHA, thereby limiting lung adenocarcinoma growth and stemness (zhong2021lossofdstyk pages 4-7).</w:t>
      </w:r>
      <w:r>
        <w:br/>
      </w:r>
      <w:r>
        <w:t xml:space="preserve">ERK pathway: a somatic Met296Ile mutation augments ERK1/2 activity and enhances invasiveness in solitary fibrous tumour/hemangiopericytoma (tang2019adstykmutation pages 4-6).</w:t>
      </w:r>
    </w:p>
    <w:bookmarkEnd w:id="15"/>
    <w:bookmarkStart w:id="16" w:name="other-comments"/>
    <w:p>
      <w:pPr>
        <w:pStyle w:val="Heading2"/>
      </w:pPr>
      <w:r>
        <w:t xml:space="preserve">Other Comments</w:t>
      </w:r>
    </w:p>
    <w:p>
      <w:pPr>
        <w:pStyle w:val="FirstParagraph"/>
      </w:pPr>
      <w:r>
        <w:t xml:space="preserve">Disease associations:</w:t>
      </w:r>
      <w:r>
        <w:br/>
      </w:r>
      <w:r>
        <w:t xml:space="preserve">• Heterozygous splice-site and missense variants cause autosomal dominant congenital anomalies of the kidney and urinary tract (CAKUT) (sannacherchi2013mutationsindstyk pages 4-5).</w:t>
      </w:r>
      <w:r>
        <w:br/>
      </w:r>
      <w:r>
        <w:t xml:space="preserve">• Missense variant c.271C&gt;A (Leu91Met) linked to hereditary spastic paraparesis with lower urinary-tract dysfunction (vidic2021exomesequencingimplicates pages 2-4).</w:t>
      </w:r>
      <w:r>
        <w:br/>
      </w:r>
      <w:r>
        <w:t xml:space="preserve">• Loss-of-function alleles in zebrafish generate scoliosis-like vertebral malformations via mTORC1/TFEB dysregulation (sun2020dstykmutationleads pages 3-4).</w:t>
      </w:r>
      <w:r>
        <w:br/>
      </w:r>
      <w:r>
        <w:t xml:space="preserve">• Kinase-domain ablation in mice impairs spatial learning and memory without gross neurodevelopmental defects (unknownauthors2014dstykkinasedomain pages 5-7).</w:t>
      </w:r>
      <w:r>
        <w:br/>
      </w:r>
      <w:r>
        <w:t xml:space="preserve">• Cancer: Met296Ile somatic mutation drives intraspinal dissemination of solitary fibrous tumour/hemangiopericytoma (tang2019adstykmutation pages 4-6); reduced expression suppresses lung adenocarcinoma progression via β-catenin regulation (zhong2021lossofdstyk pages 4-7).</w:t>
      </w:r>
    </w:p>
    <w:p>
      <w:pPr>
        <w:pStyle w:val="BodyText"/>
      </w:pPr>
      <w:r>
        <w:t xml:space="preserve">No specific small-molecule or biologic inhibitors have been described in the cited literature.</w:t>
      </w:r>
    </w:p>
    <w:p>
      <w:pPr>
        <w:pStyle w:val="BodyText"/>
      </w:pPr>
      <w:r>
        <w:t xml:space="preserve">References</w:t>
      </w:r>
    </w:p>
    <w:p>
      <w:pPr>
        <w:numPr>
          <w:ilvl w:val="0"/>
          <w:numId w:val="1001"/>
        </w:numPr>
      </w:pPr>
      <w:r>
        <w:t xml:space="preserve">(dong2025dstykphosphorylatessting pages 2-3): Hao Dong, Heng Zhang, Pu Song, Yuan Hu, and Danying Chen. Dstyk phosphorylates sting at late endosomes to promote sting signaling. EMBO Reports, 26:1620-1646, Feb 2025. URL: https://doi.org/10.1038/s44319-025-00394-9, doi:10.1038/s44319-025-00394-9. This article has 0 citations and is from a highest quality peer-reviewed journal.</w:t>
      </w:r>
    </w:p>
    <w:p>
      <w:pPr>
        <w:numPr>
          <w:ilvl w:val="0"/>
          <w:numId w:val="1001"/>
        </w:numPr>
      </w:pPr>
      <w:r>
        <w:t xml:space="preserve">(dong2025dstykphosphorylatessting pages 1-2): Hao Dong, Heng Zhang, Pu Song, Yuan Hu, and Danying Chen. Dstyk phosphorylates sting at late endosomes to promote sting signaling. EMBO Reports, 26:1620-1646, Feb 2025. URL: https://doi.org/10.1038/s44319-025-00394-9, doi:10.1038/s44319-025-00394-9. This article has 0 citations and is from a highest quality peer-reviewed journal.</w:t>
      </w:r>
    </w:p>
    <w:p>
      <w:pPr>
        <w:numPr>
          <w:ilvl w:val="0"/>
          <w:numId w:val="1001"/>
        </w:numPr>
      </w:pPr>
      <w:r>
        <w:t xml:space="preserve">(dong2025dstykphosphorylatessting pages 16-24): Hao Dong, Heng Zhang, Pu Song, Yuan Hu, and Danying Chen. Dstyk phosphorylates sting at late endosomes to promote sting signaling. EMBO Reports, 26:1620-1646, Feb 2025. URL: https://doi.org/10.1038/s44319-025-00394-9, doi:10.1038/s44319-025-00394-9. This article has 0 citations and is from a highest quality peer-reviewed journal.</w:t>
      </w:r>
    </w:p>
    <w:p>
      <w:pPr>
        <w:numPr>
          <w:ilvl w:val="0"/>
          <w:numId w:val="1001"/>
        </w:numPr>
      </w:pPr>
      <w:r>
        <w:t xml:space="preserve">(dong2025dstykphosphorylatessting pages 5-7): Hao Dong, Heng Zhang, Pu Song, Yuan Hu, and Danying Chen. Dstyk phosphorylates sting at late endosomes to promote sting signaling. EMBO Reports, 26:1620-1646, Feb 2025. URL: https://doi.org/10.1038/s44319-025-00394-9, doi:10.1038/s44319-025-00394-9. This article has 0 citations and is from a highest quality peer-reviewed journal.</w:t>
      </w:r>
    </w:p>
    <w:p>
      <w:pPr>
        <w:numPr>
          <w:ilvl w:val="0"/>
          <w:numId w:val="1001"/>
        </w:numPr>
      </w:pPr>
      <w:r>
        <w:t xml:space="preserve">(peng2006dustyproteinkinases pages 1-2): Jianbin Peng, Wenji Dong, Ying Chen, R. Mo, Jan-Fang Cheng, C. Hui, N. Mohandas, and Cheng-Han Huang. Dusty protein kinases: primary structure, gene evolution, tissue specific expression and unique features of the catalytic domain. Biochimica et biophysica acta, 1759 11-12:562-72, Nov 2006. URL: https://doi.org/10.1016/j.bbaexp.2006.10.004, doi:10.1016/j.bbaexp.2006.10.004. This article has 19 citations.</w:t>
      </w:r>
    </w:p>
    <w:p>
      <w:pPr>
        <w:numPr>
          <w:ilvl w:val="0"/>
          <w:numId w:val="1001"/>
        </w:numPr>
      </w:pPr>
      <w:r>
        <w:t xml:space="preserve">(unknownauthors2014dstykkinasedomain pages 5-7): DSTYK kinase domain ablation impaired the mice capabilities of learning and memory in water maze test</w:t>
      </w:r>
    </w:p>
    <w:p>
      <w:pPr>
        <w:numPr>
          <w:ilvl w:val="0"/>
          <w:numId w:val="1001"/>
        </w:numPr>
      </w:pPr>
      <w:r>
        <w:t xml:space="preserve">(unknownauthors2014dstykkinasedomain pages 7-7): DSTYK kinase domain ablation impaired the mice capabilities of learning and memory in water maze test</w:t>
      </w:r>
    </w:p>
    <w:p>
      <w:pPr>
        <w:numPr>
          <w:ilvl w:val="0"/>
          <w:numId w:val="1001"/>
        </w:numPr>
      </w:pPr>
      <w:r>
        <w:t xml:space="preserve">(vidic2021exomesequencingimplicates pages 2-4): Clara Vidic, Marcin Zaniew, Szymon Jurga, Holger Thiele, Heiko Reutter, and Alina C. Hilger. Exome sequencing implicates a novel heterozygous missense variant in dstyk in autosomal dominant lower urinary tract dysfunction and mild hereditary spastic paraparesis. Molecular and Cellular Pediatrics, Oct 2021. URL: https://doi.org/10.1186/s40348-021-00122-y, doi:10.1186/s40348-021-00122-y. This article has 2 citations.</w:t>
      </w:r>
    </w:p>
    <w:p>
      <w:pPr>
        <w:numPr>
          <w:ilvl w:val="0"/>
          <w:numId w:val="1001"/>
        </w:numPr>
      </w:pPr>
      <w:r>
        <w:t xml:space="preserve">(sannacherchi2013mutationsindstyk pages 4-5): S. Sanna-Cherchi, R. Sampogna, N. Papeta, K. E. Burgess, S. Nees, Brittany J. Perry, Murim Choi, M. Bodria, Yan Liu, P. Weng, V. Lozanovski, M. Verbitsky, Francesca Lugani, Roel Sterken, N. Paragas, G. Caridi, A. Carrea, M. Dagnino, A. Materna-Kiryluk, G. Santamaria, C. Murtas, N. Ristoska-Bojkovska, C. Izzi, Nilgun Kacak, Beatrice Bianco, Stefania Giberti, M. Gigante, G. Piaggio, L. Gesualdo, D. Vukic, K. Vukojević, M. Saraga-Babic, M. Saraga, Z. Gucev, L. Allegri, A. Latos-Bieleńska, D. Casu, M. State, F. Scolari, R. Ravazzolo, K. Kiryluk, Q. Al-Awqati, V. D’Agati, I. Drummond, V. Tasic, R. Lifton, G. Ghiggeri, and A. Gharavi. Mutations in</w:t>
      </w:r>
      <w:r>
        <w:t xml:space="preserve"> </w:t>
      </w:r>
      <w:r>
        <w:t xml:space="preserve">dstyk</w:t>
      </w:r>
      <w:r>
        <w:t xml:space="preserve"> </w:t>
      </w:r>
      <w:r>
        <w:t xml:space="preserve">and dominant urinary tract malformations. New England Journal of Medicine, 369:621-629, Aug 2013. URL: https://doi.org/10.1056/nejmoa1214479, doi:10.1056/nejmoa1214479. This article has 160 citations and is from a highest quality peer-reviewed journal.</w:t>
      </w:r>
    </w:p>
    <w:p>
      <w:pPr>
        <w:numPr>
          <w:ilvl w:val="0"/>
          <w:numId w:val="1001"/>
        </w:numPr>
      </w:pPr>
      <w:r>
        <w:t xml:space="preserve">(sun2020dstykmutationleads pages 3-4):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47 citations and is from a highest quality peer-reviewed journal.</w:t>
      </w:r>
    </w:p>
    <w:p>
      <w:pPr>
        <w:numPr>
          <w:ilvl w:val="0"/>
          <w:numId w:val="1001"/>
        </w:numPr>
      </w:pPr>
      <w:r>
        <w:t xml:space="preserve">(tang2019adstykmutation pages 4-6): Guodong Tang, Yufei Yang, Li Shang, Fu Jun, and Qing Liu. A dstyk mutation activates erk1/2 signaling to promote intraspinal dissemination in a case of solitary fibrous tumor/hemangiopericytoma. Laboratory Investigation, pages 1-14, Jun 2019. URL: https://doi.org/10.1038/s41374-019-0274-1, doi:10.1038/s41374-019-0274-1. This article has 13 citations and is from a peer-reviewed journal.</w:t>
      </w:r>
    </w:p>
    <w:p>
      <w:pPr>
        <w:numPr>
          <w:ilvl w:val="0"/>
          <w:numId w:val="1001"/>
        </w:numPr>
      </w:pPr>
      <w:r>
        <w:t xml:space="preserve">(zhong2021lossofdstyk pages 4-7): Chenxi Zhong, Ming Chen, Yu Chen, F. Yao, and W. Fang. Loss of dstyk activates wnt/β-catenin signaling and glycolysis in lung adenocarcinoma. Cell Death &amp; Disease, Dec 2021. URL: https://doi.org/10.1038/s41419-021-04385-1, doi:10.1038/s41419-021-04385-1. This article has 27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