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PEAK3 proteins are documented in Homo sapiens, Mus musculus, Rattus norvegicus, Gallus gallus, Danio rerio and Xenopus laevis, demonstrating conservation across vertebrates (hou2021peak3pseudokinaserepresents pages 1-3).</w:t>
      </w:r>
      <w:r>
        <w:br/>
      </w:r>
      <w:r>
        <w:t xml:space="preserve">Additional homologues occur in Monodelphis domestica, Alligator mississippiensis and Taeniopygia guttata, whereas the gene has been lost from several Squamata lineages, including snakes and lizards (lopez2019peak3c19orf35pseudokinasea pages 2-3).</w:t>
      </w:r>
      <w:r>
        <w:br/>
      </w:r>
      <w:r>
        <w:t xml:space="preserve">A RefSeq-based survey retrieved 251 PEAK3 homologues that form a discrete clade once PEAK1 and PEAK2 sequences are excluded, confirming paralogue distinction (torosyan2023structuralinsightsinto pages 14-15).</w:t>
      </w:r>
      <w:r>
        <w:br/>
      </w:r>
      <w:r>
        <w:t xml:space="preserve">Within the human kinome, PEAK3 belongs to the atypical New Kinase Family 3 (NKF3) pseudokinase branch, which was not catalogued in the original Manning 2002 classification because of extensive catalytic-motif degeneration; it clusters with PEAK1/SgK269 and PEAK2/Pragmin (lopez2019peak3c19orf35pseudokinasea pages 9-9).</w:t>
      </w:r>
    </w:p>
    <w:bookmarkEnd w:id="9"/>
    <w:bookmarkStart w:id="10" w:name="reaction-catalyzed"/>
    <w:p>
      <w:pPr>
        <w:pStyle w:val="Heading2"/>
      </w:pPr>
      <w:r>
        <w:t xml:space="preserve">Reaction Catalyzed</w:t>
      </w:r>
    </w:p>
    <w:p>
      <w:pPr>
        <w:pStyle w:val="FirstParagraph"/>
      </w:pPr>
      <w:r>
        <w:t xml:space="preserve">Protein-L-tyrosine + ATP → Protein-L-tyrosine-phosphate + ADP.</w:t>
      </w:r>
      <w:r>
        <w:br/>
      </w:r>
      <w:r>
        <w:t xml:space="preserve">No phosphotransfer activity has been detected; an inhibitory triad blocks nucleotide access and key catalytic residues are substituted (lopez2019peak3c19orf35pseudokinasea pages 4-4, torosyan2023structuralinsightsinto pages 1-2).</w:t>
      </w:r>
    </w:p>
    <w:bookmarkEnd w:id="10"/>
    <w:bookmarkStart w:id="11" w:name="cofactor-requirements"/>
    <w:p>
      <w:pPr>
        <w:pStyle w:val="Heading2"/>
      </w:pPr>
      <w:r>
        <w:t xml:space="preserve">Cofactor Requirements</w:t>
      </w:r>
    </w:p>
    <w:p>
      <w:pPr>
        <w:pStyle w:val="FirstParagraph"/>
      </w:pPr>
      <w:r>
        <w:t xml:space="preserve">No divalent-cation requirement is observed because enzymatic activity is absent (lopez2019peak3c19orf35pseudokinasea pages 4-4).</w:t>
      </w:r>
    </w:p>
    <w:bookmarkEnd w:id="11"/>
    <w:bookmarkStart w:id="12" w:name="substrate-specificity"/>
    <w:p>
      <w:pPr>
        <w:pStyle w:val="Heading2"/>
      </w:pPr>
      <w:r>
        <w:t xml:space="preserve">Substrate Specificity</w:t>
      </w:r>
    </w:p>
    <w:p>
      <w:pPr>
        <w:pStyle w:val="FirstParagraph"/>
      </w:pPr>
      <w:r>
        <w:t xml:space="preserve">No substrate specificity has been defined; kinase assays have failed to detect catalytic activity (unknownauthors2019functionalcharacterizationof pages 36-41).</w:t>
      </w:r>
    </w:p>
    <w:bookmarkEnd w:id="12"/>
    <w:bookmarkStart w:id="13" w:name="structure"/>
    <w:p>
      <w:pPr>
        <w:pStyle w:val="Heading2"/>
      </w:pPr>
      <w:r>
        <w:t xml:space="preserve">Structure</w:t>
      </w:r>
    </w:p>
    <w:p>
      <w:pPr>
        <w:pStyle w:val="FirstParagraph"/>
      </w:pPr>
      <w:r>
        <w:t xml:space="preserve">Domain organisation</w:t>
      </w:r>
      <w:r>
        <w:br/>
      </w:r>
      <w:r>
        <w:t xml:space="preserve">• N-terminal intrinsically disordered region (~130 aa) containing a high-affinity CrkII SH3N binding motif (PPPLPK) and a 14-3-3 docking motif centred on Ser69 (roy2023structuralmappingof pages 1-3).</w:t>
      </w:r>
      <w:r>
        <w:br/>
      </w:r>
      <w:r>
        <w:t xml:space="preserve">• Split Helical Dimerisation (SHED) module composed of helices αN, αJ, αK and αL that mediates obligate homodimerisation and permits heterodimerisation with PEAK1/2 (lopez2019peak3c19orf35pseudokinasea pages 2-3).</w:t>
      </w:r>
      <w:r>
        <w:br/>
      </w:r>
      <w:r>
        <w:t xml:space="preserve">• C-terminal pseudokinase domain retaining an intact DFG motif but harbouring an HRD→LxE substitution; residues D184/Y187/L201/Q231/L311 occlude the nucleotide pocket (lopez2019peak3c19orf35pseudokinasea pages 4-4).</w:t>
      </w:r>
    </w:p>
    <w:p>
      <w:pPr>
        <w:pStyle w:val="BodyText"/>
      </w:pPr>
      <w:r>
        <w:t xml:space="preserve">3-D structural data</w:t>
      </w:r>
      <w:r>
        <w:br/>
      </w:r>
      <w:r>
        <w:t xml:space="preserve">Cryo-EM structures of the PEAK3 homodimer bound to an endogenous 14-3-3 heterodimer have been deposited (PDB 6GN0, 6GNK, 6GNJ, 6GN8, 6GNN); the map reveals an asymmetric 14-3-3 engagement spanning the SHED and pseudokinase lobes (torosyan2023structuralinsightsinto pages 1-2, torosyan2023structuralinsightsinto pages 14-15).</w:t>
      </w:r>
      <w:r>
        <w:br/>
      </w:r>
      <w:r>
        <w:t xml:space="preserve">Homology modelling based on the Pragmin SHED/pseudokinase crystal structure (PDB 5VE6) was used to map the inhibitory triad and dimer interface (lopez2019peak3c19orf35pseudokinasea pages 4-4).</w:t>
      </w:r>
      <w:r>
        <w:br/>
      </w:r>
      <w:r>
        <w:t xml:space="preserve">The activation loop is fully ordered yet unphosphorylated, the αC helix adopts a closed conformation, and the intact DFG motif contributes to dimer stability rather than catalysis (torosyan2023structuralinsightsinto pages 1-2).</w:t>
      </w:r>
      <w:r>
        <w:br/>
      </w:r>
      <w:r>
        <w:t xml:space="preserve">A secondary PEAK3-specific interface supplements the canonical phospho-Ser69/14-3-3 groove interaction (torosyan2023structuralinsightsinto pages 1-2).</w:t>
      </w:r>
    </w:p>
    <w:bookmarkEnd w:id="13"/>
    <w:bookmarkStart w:id="14" w:name="regulation"/>
    <w:p>
      <w:pPr>
        <w:pStyle w:val="Heading2"/>
      </w:pPr>
      <w:r>
        <w:t xml:space="preserve">Regulation</w:t>
      </w:r>
    </w:p>
    <w:p>
      <w:pPr>
        <w:pStyle w:val="FirstParagraph"/>
      </w:pPr>
      <w:r>
        <w:t xml:space="preserve">Post-translational modifications</w:t>
      </w:r>
      <w:r>
        <w:br/>
      </w:r>
      <w:r>
        <w:t xml:space="preserve">• Ser69 phosphorylation by PKD family kinases creates a high-affinity 14-3-3 binding site, resulting in cytoplasmic sequestration and reduced nuclear localisation (torosyan2023structuralinsightsinto pages 10-11).</w:t>
      </w:r>
      <w:r>
        <w:br/>
      </w:r>
      <w:r>
        <w:t xml:space="preserve">• Tyr24 phosphorylation by Src family kinases following EGF stimulation generates SH2 docking sites for Grb2 and ASAP1; PTPN12 rapidly removes this modification (hou2021peak3pseudokinaserepresents pages 1-3).</w:t>
      </w:r>
      <w:r>
        <w:br/>
      </w:r>
      <w:r>
        <w:t xml:space="preserve">• Ubiquitination by the E3 ligase SIAH1 has been reported and is implicated in regulating protein stability (lopez2019peak3c19orf35pseudokinasea pages 9-9).</w:t>
      </w:r>
    </w:p>
    <w:p>
      <w:pPr>
        <w:pStyle w:val="BodyText"/>
      </w:pPr>
      <w:r>
        <w:t xml:space="preserve">Allosteric and conformational control</w:t>
      </w:r>
      <w:r>
        <w:br/>
      </w:r>
      <w:r>
        <w:t xml:space="preserve">SHED-dependent homodimerisation is required for high-affinity CrkII binding; mutation of the DFG aspartate or SHED helices disrupts both dimer formation and adaptor engagement (unknownauthors2019functionalcharacterizationof pages 47-53).</w:t>
      </w:r>
      <w:r>
        <w:br/>
      </w:r>
      <w:r>
        <w:t xml:space="preserve">14-3-3 binding sterically competes with CrkII and PP2A, thereby rewiring the interactome and modulating subcellular localisation (torosyan2023structuralinsightsinto pages 10-11).</w:t>
      </w:r>
    </w:p>
    <w:bookmarkEnd w:id="14"/>
    <w:bookmarkStart w:id="15" w:name="function"/>
    <w:p>
      <w:pPr>
        <w:pStyle w:val="Heading2"/>
      </w:pPr>
      <w:r>
        <w:t xml:space="preserve">Function</w:t>
      </w:r>
    </w:p>
    <w:p>
      <w:pPr>
        <w:pStyle w:val="FirstParagraph"/>
      </w:pPr>
      <w:r>
        <w:t xml:space="preserve">Expression patterns</w:t>
      </w:r>
      <w:r>
        <w:br/>
      </w:r>
      <w:r>
        <w:t xml:space="preserve">RNA-seq and immunohistochemistry data indicate predominant expression in granulocytes, monocytes and other lymphoid-lineage cells, with limited expression in most tissues (ounoughene2021sheddependentoncogenicsignaling pages 2-4, roy2023structuralmappingof pages 1-3).</w:t>
      </w:r>
    </w:p>
    <w:p>
      <w:pPr>
        <w:pStyle w:val="BodyText"/>
      </w:pPr>
      <w:r>
        <w:t xml:space="preserve">Interacting partners and pathway context</w:t>
      </w:r>
      <w:r>
        <w:br/>
      </w:r>
      <w:r>
        <w:t xml:space="preserve">Validated interactors include CrkII, CrkL, multiple 14-3-3 isoforms, Grb2, ASAP1/2, Cbl, PYK2 and EGFR, identified by co-immunoprecipitation and quantitative mass spectrometry (lopez2019peak3c19orf35pseudokinasea pages 4-4, hou2021peak3pseudokinaserepresents pages 3-5, torosyan2023structuralinsightsinto pages 1-2).</w:t>
      </w:r>
      <w:r>
        <w:br/>
      </w:r>
      <w:r>
        <w:t xml:space="preserve">Upstream regulators comprise Src (Tyr24) and PKD (Ser69), whereas downstream signalling involves inhibition of CrkII-dependent membrane ruffling and activation of a PEAK3-PYK2-AKT axis that drives motility and invasion in epithelial cells (ounoughene2021sheddependentoncogenicsignaling pages 2-4, hou2021peak3pseudokinaserepresents pages 1-3).</w:t>
      </w:r>
      <w:r>
        <w:br/>
      </w:r>
      <w:r>
        <w:t xml:space="preserve">Over-expression in MCF-10A mammary epithelial cells promotes elongation, migration and invasive 3-D acinar growth; these phenotypes require SHED-mediated dimerisation and Tyr24 phosphorylation (hou2021peak3pseudokinaserepresents pages 1-3).</w:t>
      </w:r>
    </w:p>
    <w:bookmarkEnd w:id="15"/>
    <w:bookmarkStart w:id="16" w:name="other-comments"/>
    <w:p>
      <w:pPr>
        <w:pStyle w:val="Heading2"/>
      </w:pPr>
      <w:r>
        <w:t xml:space="preserve">Other Comments</w:t>
      </w:r>
    </w:p>
    <w:p>
      <w:pPr>
        <w:pStyle w:val="FirstParagraph"/>
      </w:pPr>
      <w:r>
        <w:t xml:space="preserve">PEAK3 mRNA is significantly up-regulated in acute myeloid leukaemia patient samples, particularly in M4/M5 subtypes, and the protein interacts with SIAH1, an E3 ligase implicated in FLT3-ITD turnover (ounoughene2021sheddependentoncogenicsignalling pages 8-12, unknownauthors2019functionalcharacterizationof pages 57-61, lopez2019peak3c19orf35pseudokinasea pages 9-9).</w:t>
      </w:r>
      <w:r>
        <w:br/>
      </w:r>
      <w:r>
        <w:t xml:space="preserve">Mutation D330N within the DFG motif impairs dimerisation, CrkII binding and functional inhibition of membrane ruffling, underscoring the importance of the pseudoactive site for scaffold integrity (unknownauthors2019functionalcharacterizationof pages 47-53).</w:t>
      </w:r>
    </w:p>
    <w:p>
      <w:pPr>
        <w:pStyle w:val="BodyText"/>
      </w:pPr>
      <w:r>
        <w:t xml:space="preserve">References</w:t>
      </w:r>
    </w:p>
    <w:p>
      <w:pPr>
        <w:numPr>
          <w:ilvl w:val="0"/>
          <w:numId w:val="1001"/>
        </w:numPr>
      </w:pPr>
      <w:r>
        <w:t xml:space="preserve">(hou2021peak3pseudokinaserepresents pages 1-3): Jianmei Hou, Elizabeth V Nguyen, Minglyanna Surudoi, Michael J Roy, Onisha Patel, Isabelle S Lucet, Xiuquan Ma, and Roger J Daly. Peak3 pseudokinase represents a pro-migratory and -invasive signalling scaffold. BioRxiv, Feb 2021. URL: https://doi.org/10.1101/2021.02.17.431740, doi:10.1101/2021.02.17.431740. This article has 2 citations.</w:t>
      </w:r>
    </w:p>
    <w:p>
      <w:pPr>
        <w:numPr>
          <w:ilvl w:val="0"/>
          <w:numId w:val="1001"/>
        </w:numPr>
      </w:pPr>
      <w:r>
        <w:t xml:space="preserve">(hou2021peak3pseudokinaserepresents pages 3-5): Jianmei Hou, Elizabeth V Nguyen, Minglyanna Surudoi, Michael J Roy, Onisha Patel, Isabelle S Lucet, Xiuquan Ma, and Roger J Daly. Peak3 pseudokinase represents a pro-migratory and -invasive signalling scaffold. BioRxiv, Feb 2021. URL: https://doi.org/10.1101/2021.02.17.431740, doi:10.1101/2021.02.17.431740. This article has 2 citations.</w:t>
      </w:r>
    </w:p>
    <w:p>
      <w:pPr>
        <w:numPr>
          <w:ilvl w:val="0"/>
          <w:numId w:val="1001"/>
        </w:numPr>
      </w:pPr>
      <w:r>
        <w:t xml:space="preserve">(lopez2019peak3c19orf35pseudokinasea pages 2-3):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(lopez2019peak3c19orf35pseudokinasea pages 4-4):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(lopez2019peak3c19orf35pseudokinasea pages 9-9):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(ounoughene2021sheddependentoncogenicsignaling pages 2-4): Youcef Ounoughene, Elise Fourgous, Y. Boublik, E. Saland, N. Guiraud, C. Récher, S. Urbach, P. Fort, J. Sarry, D. Fesquet, and S. Roche. Shed-dependent oncogenic signaling of the peak3 pseudo-kinase. Cancers, Dec 2021. URL: https://doi.org/10.3390/cancers13246344, doi:10.3390/cancers13246344. This article has 11 citations and is from a peer-reviewed journal.</w:t>
      </w:r>
    </w:p>
    <w:p>
      <w:pPr>
        <w:numPr>
          <w:ilvl w:val="0"/>
          <w:numId w:val="1001"/>
        </w:numPr>
      </w:pPr>
      <w:r>
        <w:t xml:space="preserve">(roy2023structuralmappingof pages 1-3): M. Roy, Minglyanna G Surudoi, Ashleigh Kropp, Jianmei Hou, Weiwen Dai, J. Hardy, Lung-Yu Liang, T. Cotton, B. C. Lechtenberg, Toby A. Dite, Xiuquan Ma, R. Daly, O. Patel, and I. Lucet. Structural mapping of peak pseudokinase interactions identifies 14-3-3 as a molecular switch for peak3 signaling. Nature Communications, Jun 2023. URL: https://doi.org/10.1038/s41467-023-38869-9, doi:10.1038/s41467-023-38869-9. This article has 12 citations and is from a highest quality peer-reviewed journal.</w:t>
      </w:r>
    </w:p>
    <w:p>
      <w:pPr>
        <w:numPr>
          <w:ilvl w:val="0"/>
          <w:numId w:val="1001"/>
        </w:numPr>
      </w:pPr>
      <w:r>
        <w:t xml:space="preserve">(torosyan2023structuralinsightsinto pages 1-2): Hayarpi Torosyan, Michael D. Paul, Antoine Forget, Megan Lo, D. Diwanji, K. Pawłowski, N. Krogan, N. Jura, and K.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1"/>
        </w:numPr>
      </w:pPr>
      <w:r>
        <w:t xml:space="preserve">(torosyan2023structuralinsightsinto pages 10-11): Hayarpi Torosyan, Michael D. Paul, Antoine Forget, Megan Lo, D. Diwanji, K. Pawłowski, N. Krogan, N. Jura, and K.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1"/>
        </w:numPr>
      </w:pPr>
      <w:r>
        <w:t xml:space="preserve">(torosyan2023structuralinsightsinto pages 14-15): Hayarpi Torosyan, Michael D. Paul, Antoine Forget, Megan Lo, D. Diwanji, K. Pawłowski, N. Krogan, N. Jura, and K.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1"/>
        </w:numPr>
      </w:pPr>
      <w:r>
        <w:t xml:space="preserve">(unknownauthors2019functionalcharacterizationof pages 36-41): Functional characterization of PEAK3/C19orf35 pseudokinase and its role in regulation of CrkII-dependent signaling</w:t>
      </w:r>
    </w:p>
    <w:p>
      <w:pPr>
        <w:numPr>
          <w:ilvl w:val="0"/>
          <w:numId w:val="1001"/>
        </w:numPr>
      </w:pPr>
      <w:r>
        <w:t xml:space="preserve">(unknownauthors2019functionalcharacterizationof pages 47-53): Functional characterization of PEAK3/C19orf35 pseudokinase and its role in regulation of CrkII-dependent signaling</w:t>
      </w:r>
    </w:p>
    <w:p>
      <w:pPr>
        <w:numPr>
          <w:ilvl w:val="0"/>
          <w:numId w:val="1001"/>
        </w:numPr>
      </w:pPr>
      <w:r>
        <w:t xml:space="preserve">(unknownauthors2019functionalcharacterizationof pages 57-61): Functional characterization of PEAK3/C19orf35 pseudokinase and its role in regulation of CrkII-dependent signaling</w:t>
      </w:r>
    </w:p>
    <w:p>
      <w:pPr>
        <w:numPr>
          <w:ilvl w:val="0"/>
          <w:numId w:val="1001"/>
        </w:numPr>
      </w:pPr>
      <w:r>
        <w:t xml:space="preserve">(ounoughene2021sheddependentoncogenicsignalling pages 8-12): Youcef Ounoughene, Elise Fourgous, Y. Boublik, E. Saland, N. Guiraud, C. Récher, S. Urbach, P. Fort, J. Sarry, D. Fesquet, and S. Roche. Shed-dependent oncogenic signalling of the peak3 pseudo-kinase. bioRxiv, Aug 2021. URL: https://doi.org/10.1101/2021.08.30.457780, doi:10.1101/2021.08.30.457780. This article has 0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