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• Orthologs are documented in Homo sapiens, Rattus norvegicus, Mus musculus and Drosophila melanogaster, whereas homologues are absent from Caenorhabditis elegans and Saccharomyces cerevisiae (takeuchi2010characterizationofpxk pages 3-4).</w:t>
      </w:r>
      <w:r>
        <w:br/>
      </w:r>
      <w:r>
        <w:t xml:space="preserve">• PXK groups within the PX-serine/threonine kinase subfamily of the protein-kinase-like (PKL) superfamily and is classified as a pseudokinase owing to degeneration of the β3 VAIK Lys and catalytic HRD Asp motifs (teasdale2012insightsintothe pages 4-5).</w:t>
      </w:r>
      <w:r>
        <w:br/>
      </w:r>
      <w:r>
        <w:t xml:space="preserve">• Comparative analyses align PXK with other PX-domain kinases such as SGK3 and RPK118 that combine lipid-sensing PX modules with catalytically inactive kinase folds (teasdale2012insightsintothe pages 4-5).</w:t>
      </w:r>
      <w:r>
        <w:br/>
      </w:r>
      <w:r>
        <w:t xml:space="preserve">• Large-scale surveys of the human kinome list PXK among ~50 pseudokinases lacking both the β3 Lys and HXD catalytic Asp residues (unknownauthors2014biochemicalanalysisof pages 29-33).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protein-L-OH ⇌ ADP + protein-L-O-PO₃²⁻; however, PXK lacks measurable kinase activity in vitro or in cells (takeuchi2010characterizationofpxk pages 4-7).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No divalent-metal or other cofactor requirement has been reported because catalytic activity is undetectable (takeuchi2010characterizationofpxk pages 4-7).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Not determined; the absence of catalytic activity precludes definition of a phosphorylation consensus motif (takeuchi2010characterizationofpxk pages 4-7).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• Domain architecture: N-terminal PX domain → central protein-kinase-like domain → proline-rich segment containing a PXXP motif → C-terminal WH2 actin-binding domain (takeuchi2010characterizationofpxk pages 10-11).</w:t>
      </w:r>
      <w:r>
        <w:br/>
      </w:r>
      <w:r>
        <w:t xml:space="preserve">• PX domain: binds PtdIns(3)P through basic residues R54/R55; the R54Q/R55Q double mutant abolishes endosomal targeting (takeuchi2010characterizationofpxk pages 3-4).</w:t>
      </w:r>
      <w:r>
        <w:br/>
      </w:r>
      <w:r>
        <w:t xml:space="preserve">• Kinase-like domain: the canonical VAIK Lys is replaced and the HRD Asp is mutated; no autophosphorylation is detected after PKA or PKC treatment, confirming pseudokinase status (takeuchi2010characterizationofpxk pages 4-7).</w:t>
      </w:r>
      <w:r>
        <w:br/>
      </w:r>
      <w:r>
        <w:t xml:space="preserve">• WH2 domain: conserved basic residues mediate G-actin binding; their mutation eliminates actin interaction (takeuchi2010characterizationofpxk pages 4-7).</w:t>
      </w:r>
      <w:r>
        <w:br/>
      </w:r>
      <w:r>
        <w:t xml:space="preserve">• Fold assignment: sequence homology places the kinase-like region within the PKL superfamily defined by structural surveys of typical and atypical kinases (scheeff2005structuralevolutionof pages 12-13).</w:t>
      </w:r>
      <w:r>
        <w:br/>
      </w:r>
      <w:r>
        <w:t xml:space="preserve">• Structural data: no crystal or NMR structure is available; current knowledge derives from sequence analysis and domain prediction (scheeff2005structuralevolutionof pages 5-7).</w:t>
      </w:r>
      <w:r>
        <w:br/>
      </w:r>
      <w:r>
        <w:t xml:space="preserve">• Oligomeric state: no evidence for homo-oligomerization (takeuchi2010characterizationofpxk pages 10-11).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Membrane recruitment is PI3K-dependent; PI3K inhibition with wortmannin abolishes PXK endosomal localisation (takeuchi2010characterizationofpxk pages 10-11).</w:t>
      </w:r>
      <w:r>
        <w:br/>
      </w:r>
      <w:r>
        <w:t xml:space="preserve">• Post-translational modifications: none reported; phosphorylation assays do not activate the kinase-like domain (takeuchi2010characterizationofpxk pages 4-7).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• Tissue distribution: highly expressed in brain, heart, skeletal muscle, placenta and peripheral blood lymphocytes with lower ubiquitous expression elsewhere (takeuchi2010characterizationofpxk pages 3-4).</w:t>
      </w:r>
      <w:r>
        <w:br/>
      </w:r>
      <w:r>
        <w:t xml:space="preserve">• Subcellular localisation: predominates on early endosomes (≈62 % overlap with EEA1), with lesser presence on transferrin receptor-positive compartments (≈38 %) and lysosomes (≈12 %) (takeuchi2010characterizationofpxk pages 4-7).</w:t>
      </w:r>
      <w:r>
        <w:br/>
      </w:r>
      <w:r>
        <w:t xml:space="preserve">• Endocytic trafficking: promotes ligand-induced EGFR ubiquitination, accelerates EGFR internalisation and drives endolysosomal degradation without direct EGFR binding (takeuchi2010characterizationofpxk pages 11-12).</w:t>
      </w:r>
      <w:r>
        <w:br/>
      </w:r>
      <w:r>
        <w:t xml:space="preserve">• Cytoskeletal interface: binds G-actin via the WH2 domain; actin binding is dispensable for EGFR trafficking but implicates PXK in broader cytoskeletal reorganisation (takeuchi2010characterizationofpxk pages 10-11).</w:t>
      </w:r>
      <w:r>
        <w:br/>
      </w:r>
      <w:r>
        <w:t xml:space="preserve">• Ion-transport modulation: directly interacts with Na,K-ATPase β1 and β3 subunits, consistent with the alias “Modulator of Na,K-ATPase” (teasdale2012insightsintothe pages 34-35).</w:t>
      </w:r>
      <w:r>
        <w:br/>
      </w:r>
      <w:r>
        <w:t xml:space="preserve">• Upstream regulator: PtdIns(3)P production by class III PI3K controls PXK membrane targeting (takeuchi2010characterizationofpxk pages 10-11).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No PXK-selective inhibitors have been reported in the literature surveyed.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• Genomic locus: PXK resides on chromosome 3p14.3 (takeuchi2010characterizationofpxk pages 3-4).</w:t>
      </w:r>
      <w:r>
        <w:br/>
      </w:r>
      <w:r>
        <w:t xml:space="preserve">• Disease association: the SNP rs6445972 in PXK shows strong linkage to systemic lupus erythematosus (takeuchi2010characterizationofpxk pages 11-12).</w:t>
      </w:r>
    </w:p>
    <w:p>
      <w:pPr>
        <w:pStyle w:val="BodyText"/>
      </w:pPr>
      <w:r>
        <w:t xml:space="preserve">References</w:t>
      </w:r>
    </w:p>
    <w:p>
      <w:pPr>
        <w:numPr>
          <w:ilvl w:val="0"/>
          <w:numId w:val="1001"/>
        </w:numPr>
      </w:pPr>
      <w:r>
        <w:t xml:space="preserve">(takeuchi2010characterizationofpxk pages 10-11): Hiroshi Takeuchi, Takako Takeuchi, Jing Gao, Lewis C. Cantley, and Masato Hirata. Characterization of pxk as a protein involved in epidermal growth factor receptor trafficking. Molecular and Cellular Biology, 30:1689-1702, Apr 2010. URL: https://doi.org/10.1128/mcb.01105-09, doi:10.1128/mcb.01105-09. This article has 36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(takeuchi2010characterizationofpxk pages 11-12): Hiroshi Takeuchi, Takako Takeuchi, Jing Gao, Lewis C. Cantley, and Masato Hirata. Characterization of pxk as a protein involved in epidermal growth factor receptor trafficking. Molecular and Cellular Biology, 30:1689-1702, Apr 2010. URL: https://doi.org/10.1128/mcb.01105-09, doi:10.1128/mcb.01105-09. This article has 36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(takeuchi2010characterizationofpxk pages 3-4): Hiroshi Takeuchi, Takako Takeuchi, Jing Gao, Lewis C. Cantley, and Masato Hirata. Characterization of pxk as a protein involved in epidermal growth factor receptor trafficking. Molecular and Cellular Biology, 30:1689-1702, Apr 2010. URL: https://doi.org/10.1128/mcb.01105-09, doi:10.1128/mcb.01105-09. This article has 36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(takeuchi2010characterizationofpxk pages 4-7): Hiroshi Takeuchi, Takako Takeuchi, Jing Gao, Lewis C. Cantley, and Masato Hirata. Characterization of pxk as a protein involved in epidermal growth factor receptor trafficking. Molecular and Cellular Biology, 30:1689-1702, Apr 2010. URL: https://doi.org/10.1128/mcb.01105-09, doi:10.1128/mcb.01105-09. This article has 36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(teasdale2012insightsintothe pages 34-35): Rohan D. Teasdale and Brett M. Collins. Insights into the px (phox-homology) domain and snx (sorting nexin) protein families: structures, functions and roles in disease. Biochemical Journal, 441:39-59, Dec 2012. URL: https://doi.org/10.1042/bj20111226, doi:10.1042/bj20111226. This article has 345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(scheeff2005structuralevolutionof pages 12-13): Eric D. Scheeff and P. Bourne. Structural evolution of the protein kinase–like superfamily. PLoS Computational Biology, Sep 2005. URL: https://doi.org/10.1371/journal.pcbi.0010049, doi:10.1371/journal.pcbi.0010049. This article has 354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(teasdale2012insightsintothe pages 4-5): Rohan D. Teasdale and Brett M. Collins. Insights into the px (phox-homology) domain and snx (sorting nexin) protein families: structures, functions and roles in disease. Biochemical Journal, 441:39-59, Dec 2012. URL: https://doi.org/10.1042/bj20111226, doi:10.1042/bj20111226. This article has 345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(unknownauthors2014biochemicalanalysisof pages 29-33): Biochemical Analysis of Human Cancer-Associated Pseudokinases</w:t>
      </w:r>
    </w:p>
    <w:p>
      <w:pPr>
        <w:numPr>
          <w:ilvl w:val="0"/>
          <w:numId w:val="1001"/>
        </w:numPr>
      </w:pPr>
      <w:r>
        <w:t xml:space="preserve">(scheeff2005structuralevolutionof pages 5-7): Eric D. Scheeff and P. Bourne. Structural evolution of the protein kinase–like superfamily. PLoS Computational Biology, Sep 2005. URL: https://doi.org/10.1371/journal.pcbi.0010049, doi:10.1371/journal.pcbi.0010049. This article has 354 citations and is from a highest quality peer-reviewed journal.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2025-07-02T17:26:59Z</dcterms:created>
  <dcterms:modified xsi:type="dcterms:W3CDTF">2025-07-02T17:26:59Z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