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Atypical kinase group, FAM20 family within the secretory-pathway kinome (tagliabracci2013phosphorylationofsubstrates pages 1-2)</w:t>
      </w:r>
      <w:r>
        <w:br/>
      </w:r>
      <w:r>
        <w:t xml:space="preserve">• Paralogous expansion generated the pseudokinase FAM20A and glycan-kinase FAM20B from an ancestral metazoan gene (tagliabracci2013phosphorylationofsubstrates pages 2-3)</w:t>
      </w:r>
      <w:r>
        <w:br/>
      </w:r>
      <w:r>
        <w:t xml:space="preserve">• Vertebrate orthologs include Danio rerio drFam20C, Mus musculus Fam20c and Homo sapiens FAM20C (zhang2018structureandevolution pages 3-4)</w:t>
      </w:r>
      <w:r>
        <w:br/>
      </w:r>
      <w:r>
        <w:t xml:space="preserve">• Invertebrate orthologs encompass Caenorhabditis elegans ceFam20 and Drosophila CG31145/Fam20C-like (ishikawa2012therainesyndrome pages 2-3)</w:t>
      </w:r>
      <w:r>
        <w:br/>
      </w:r>
      <w:r>
        <w:t xml:space="preserve">• Drosophila Four-jointed and Hydra hmFam20 represent more distant secretory-kinase relatives (ishikawa2012therainesyndrome pages 2-3)</w:t>
      </w:r>
    </w:p>
    <w:bookmarkEnd w:id="9"/>
    <w:bookmarkStart w:id="10" w:name="reaction-catalyzed"/>
    <w:p>
      <w:pPr>
        <w:pStyle w:val="Heading2"/>
      </w:pPr>
      <w:r>
        <w:t xml:space="preserve">Reaction Catalyzed</w:t>
      </w:r>
    </w:p>
    <w:p>
      <w:pPr>
        <w:pStyle w:val="FirstParagraph"/>
      </w:pPr>
      <w:r>
        <w:t xml:space="preserve">• ATP + [secreted-protein]-Ser/Thr → ADP + [secreted-protein]-O-phospho-Ser/Thr (ishikawa2012therainesyndrome pages 3-5)</w:t>
      </w:r>
    </w:p>
    <w:bookmarkEnd w:id="10"/>
    <w:bookmarkStart w:id="11" w:name="cofactor-requirements"/>
    <w:p>
      <w:pPr>
        <w:pStyle w:val="Heading2"/>
      </w:pPr>
      <w:r>
        <w:t xml:space="preserve">Cofactor Requirements</w:t>
      </w:r>
    </w:p>
    <w:p>
      <w:pPr>
        <w:pStyle w:val="FirstParagraph"/>
      </w:pPr>
      <w:r>
        <w:t xml:space="preserve">• Catalytic activity requires divalent cations with preference Mn²⁺ &gt; Co²⁺ &gt; Mg²⁺ (tagliabracci2013phosphorylationofsubstrates pages 1-2)</w:t>
      </w:r>
      <w:r>
        <w:br/>
      </w:r>
      <w:r>
        <w:t xml:space="preserve">• Sphingosine and sphingosine-1-phosphate act as lipid activators, lowering K_m^ATP and raising V_max under Mg²⁺-rich conditions (cozza2015“genuine”caseinkinase pages 9-12)</w:t>
      </w:r>
    </w:p>
    <w:bookmarkEnd w:id="11"/>
    <w:bookmarkStart w:id="12" w:name="substrate-specificity"/>
    <w:p>
      <w:pPr>
        <w:pStyle w:val="Heading2"/>
      </w:pPr>
      <w:r>
        <w:t xml:space="preserve">Substrate Specificity</w:t>
      </w:r>
    </w:p>
    <w:p>
      <w:pPr>
        <w:pStyle w:val="FirstParagraph"/>
      </w:pPr>
      <w:r>
        <w:t xml:space="preserve">• Primary consensus motif: Ser-x-Glu/phospho-Ser (S-x-E/pS) (tagliabracci2013phosphorylationofsubstrates pages 1-2)</w:t>
      </w:r>
      <w:r>
        <w:br/>
      </w:r>
      <w:r>
        <w:t xml:space="preserve">• Extended acidic motifs such as S-x-Q-x-x-D-E-E are also accommodated (xu2021fam20cinhuman pages 1-2)</w:t>
      </w:r>
      <w:r>
        <w:br/>
      </w:r>
      <w:r>
        <w:t xml:space="preserve">• Acidophilic bias; additional downstream Asp/Glu residues enhance recognition (cozza2015“genuine”caseinkinase pages 9-12)</w:t>
      </w:r>
      <w:r>
        <w:br/>
      </w:r>
      <w:r>
        <w:t xml:space="preserve">• Displays negligible activity toward CK1/CK2 consensus peptides, underscoring distinct specificity (ishikawa2012therainesyndrome pages 3-5)</w:t>
      </w:r>
    </w:p>
    <w:bookmarkEnd w:id="12"/>
    <w:bookmarkStart w:id="13" w:name="structure"/>
    <w:p>
      <w:pPr>
        <w:pStyle w:val="Heading2"/>
      </w:pPr>
      <w:r>
        <w:t xml:space="preserve">Structure</w:t>
      </w:r>
    </w:p>
    <w:p>
      <w:pPr>
        <w:pStyle w:val="FirstParagraph"/>
      </w:pPr>
      <w:r>
        <w:t xml:space="preserve">• Luminal signal peptide precedes a shell-like kinase fold formed by an N-terminal segment and insertion domain (xu2021fam20cinhuman pages 1-2)</w:t>
      </w:r>
      <w:r>
        <w:br/>
      </w:r>
      <w:r>
        <w:t xml:space="preserve">• Reduced Gly-loop with critical Thr268; Lys285-Glu311 ion pair orients ATP in active site (tagliabracci2013phosphorylationofsubstrates pages 2-3)</w:t>
      </w:r>
      <w:r>
        <w:br/>
      </w:r>
      <w:r>
        <w:t xml:space="preserve">• Variant DNH/AG metal-binding motif and DRHHYE catalytic loop with Asp478 as general base coordinate Mn²⁺ for phosphotransfer (tagliabracci2013phosphorylationofsubstrates pages 2-3)</w:t>
      </w:r>
      <w:r>
        <w:br/>
      </w:r>
      <w:r>
        <w:t xml:space="preserve">• Activation loop is constitutively ordered, supporting continuous catalytic competence (xu2021fam20cinhuman pages 1-2)</w:t>
      </w:r>
      <w:r>
        <w:br/>
      </w:r>
      <w:r>
        <w:t xml:space="preserve">• C-helix engages the Lys-Glu ion pair, maintaining an active conformation without requirement for phosphorylation (tagliabracci2013phosphorylationofsubstrates pages 2-3)</w:t>
      </w:r>
      <w:r>
        <w:br/>
      </w:r>
      <w:r>
        <w:t xml:space="preserve">• Hydrophobic regulatory spine is re-arranged relative to classical kinases, lacking the canonical phenylalanine (tagliabracci2013phosphorylationofsubstrates pages 2-3)</w:t>
      </w:r>
      <w:r>
        <w:br/>
      </w:r>
      <w:r>
        <w:t xml:space="preserve">• Homodimer interface (Phe299-Phe300-Phe354-Pro357 etc.) is essential for activity; dimer-disruptive mutations diminish catalysis (zhang2018structureandevolution pages 3-4)</w:t>
      </w:r>
      <w:r>
        <w:br/>
      </w:r>
      <w:r>
        <w:t xml:space="preserve">• Heterodimer with FAM20A forms a reversed face-to-face interface (~1000 Å²) that allosterically activates FAM20C (zhang2018structureandevolution pages 9-10)</w:t>
      </w:r>
      <w:r>
        <w:br/>
      </w:r>
      <w:r>
        <w:t xml:space="preserve">• Crystal structures: zebrafish Fam20C homodimer (2.2–3.5 Å) and ceFam20 template (PDB 4KQA); Fam20A-Fam20C complex solved using hsFam20A model (PDB 5WRR) (zhang2018structureandevolution pages 9-10)</w:t>
      </w:r>
    </w:p>
    <w:bookmarkEnd w:id="13"/>
    <w:bookmarkStart w:id="14" w:name="regulation"/>
    <w:p>
      <w:pPr>
        <w:pStyle w:val="Heading2"/>
      </w:pPr>
      <w:r>
        <w:t xml:space="preserve">Regulation</w:t>
      </w:r>
    </w:p>
    <w:p>
      <w:pPr>
        <w:pStyle w:val="FirstParagraph"/>
      </w:pPr>
      <w:r>
        <w:t xml:space="preserve">• Intermolecular autophosphorylation enhances catalytic output (ishikawa2012therainesyndrome pages 2-3)</w:t>
      </w:r>
      <w:r>
        <w:br/>
      </w:r>
      <w:r>
        <w:t xml:space="preserve">• Multiple N-linked glycosylation sites and eight conserved cysteines forming disulfide bonds stabilize the secreted fold (filatova2015theroleof pages 17-20)</w:t>
      </w:r>
      <w:r>
        <w:br/>
      </w:r>
      <w:r>
        <w:t xml:space="preserve">• Homodimerization is required for basal activity; F354A/P357G mutations create a monomeric low-activity enzyme (zhang2018structureandevolution pages 3-4)</w:t>
      </w:r>
      <w:r>
        <w:br/>
      </w:r>
      <w:r>
        <w:t xml:space="preserve">• Heterodimerization with pseudokinase FAM20A elevates k_cat and rescues certain hypomorphic mutants (cui2015asecretorykinase pages 11-13)</w:t>
      </w:r>
      <w:r>
        <w:br/>
      </w:r>
      <w:r>
        <w:t xml:space="preserve">• ATP binding to FAM20A stabilizes a compact heterodimer conformation that further activates FAM20C (cui2017structureoffam20a pages 6-8)</w:t>
      </w:r>
      <w:r>
        <w:br/>
      </w:r>
      <w:r>
        <w:t xml:space="preserve">• Lipid agonists sphingosine and S1P markedly boost activity under physiological Mg²⁺ (cozza2015“genuine”caseinkinase pages 9-12)</w:t>
      </w:r>
      <w:r>
        <w:br/>
      </w:r>
      <w:r>
        <w:t xml:space="preserve">• Active-site alterations confer resistance to broad-spectrum inhibitor staurosporine (tagliabracci2013phosphorylationofsubstrates pages 1-2)</w:t>
      </w:r>
    </w:p>
    <w:bookmarkEnd w:id="14"/>
    <w:bookmarkStart w:id="15" w:name="function"/>
    <w:p>
      <w:pPr>
        <w:pStyle w:val="Heading2"/>
      </w:pPr>
      <w:r>
        <w:t xml:space="preserve">Function</w:t>
      </w:r>
    </w:p>
    <w:p>
      <w:pPr>
        <w:pStyle w:val="FirstParagraph"/>
      </w:pPr>
      <w:r>
        <w:t xml:space="preserve">• Highly expressed in osteoblasts, odontoblasts, ameloblasts, lactating mammary gland, kidney and parathyroid (cui2015asecretorykinase pages 11-13)</w:t>
      </w:r>
      <w:r>
        <w:br/>
      </w:r>
      <w:r>
        <w:t xml:space="preserve">• Generates the extracellular phosphoproteome by phosphorylating casein and SIBLING proteins within S-x-E/pS motifs (ishikawa2012therainesyndrome pages 6-7)</w:t>
      </w:r>
      <w:r>
        <w:br/>
      </w:r>
      <w:r>
        <w:t xml:space="preserve">• Phosphorylates enamel matrix proteins ENAM, AMBN, AMTN and AMELX, underpinning enamel biomineralization (cui2015asecretorykinase pages 2-4)</w:t>
      </w:r>
      <w:r>
        <w:br/>
      </w:r>
      <w:r>
        <w:t xml:space="preserve">• Phosphorylates and limits bioactive FGF23, thereby controlling systemic phosphate homeostasis (cozza2015“genuine”caseinkinase pages 9-12)</w:t>
      </w:r>
      <w:r>
        <w:br/>
      </w:r>
      <w:r>
        <w:t xml:space="preserve">• Modifies ER oxidoreductases ERO1A and P4HB to bolster proteostasis during ER stress (xu2021fam20cinhuman pages 1-2)</w:t>
      </w:r>
      <w:r>
        <w:br/>
      </w:r>
      <w:r>
        <w:t xml:space="preserve">• Over-expression correlates with tumour progression via extracellular matrix and EMT modulation (wu2021frombiomineralizationto pages 3-5)</w:t>
      </w:r>
    </w:p>
    <w:bookmarkEnd w:id="15"/>
    <w:bookmarkStart w:id="16" w:name="inhibitors"/>
    <w:p>
      <w:pPr>
        <w:pStyle w:val="Heading2"/>
      </w:pPr>
      <w:r>
        <w:t xml:space="preserve">Inhibitors</w:t>
      </w:r>
    </w:p>
    <w:p>
      <w:pPr>
        <w:pStyle w:val="FirstParagraph"/>
      </w:pPr>
      <w:r>
        <w:t xml:space="preserve">• Canonical kinase inhibitors such as staurosporine and flavonoids exhibit negligible potency owing to altered ATP pocket geometry (cozza2015“genuine”caseinkinase pages 9-12)</w:t>
      </w:r>
    </w:p>
    <w:bookmarkEnd w:id="16"/>
    <w:bookmarkStart w:id="17" w:name="other-comments"/>
    <w:p>
      <w:pPr>
        <w:pStyle w:val="Heading2"/>
      </w:pPr>
      <w:r>
        <w:t xml:space="preserve">Other Comments</w:t>
      </w:r>
    </w:p>
    <w:p>
      <w:pPr>
        <w:pStyle w:val="FirstParagraph"/>
      </w:pPr>
      <w:r>
        <w:t xml:space="preserve">• Loss-of-function mutations cause lethal and non-lethal Raine syndrome characterized by osteosclerosis and craniofacial anomalies (ishikawa2012therainesyndrome pages 1-2)</w:t>
      </w:r>
      <w:r>
        <w:br/>
      </w:r>
      <w:r>
        <w:t xml:space="preserve">• Hypomorphic alleles Thr268Met and Pro328Ser trigger dental defects and are partially rescued by FAM20A co-expression (cui2015asecretorykinase pages 11-13)</w:t>
      </w:r>
      <w:r>
        <w:br/>
      </w:r>
      <w:r>
        <w:t xml:space="preserve">• Catalytic-site mutations E306Q and D478A abolish activity, leading to FGF23-mediated hypophosphatemic rickets (cozza2015“genuine”caseinkinase pages 9-12)</w:t>
      </w:r>
      <w:r>
        <w:br/>
      </w:r>
      <w:r>
        <w:t xml:space="preserve">• Elevated FAM20C expression is associated with poor prognosis in several cancers (wu2021frombiomineralizationto pages 3-5)</w:t>
      </w:r>
    </w:p>
    <w:p>
      <w:pPr>
        <w:pStyle w:val="BodyText"/>
      </w:pPr>
      <w:r>
        <w:t xml:space="preserve">References</w:t>
      </w:r>
    </w:p>
    <w:p>
      <w:pPr>
        <w:numPr>
          <w:ilvl w:val="0"/>
          <w:numId w:val="1001"/>
        </w:numPr>
      </w:pPr>
      <w:r>
        <w:t xml:space="preserve">(cozza2015“genuine”caseinkinase pages 9-12): Giorgio Cozza, Vincent S. Tagliabracci, Jack E. Dixon, and Lorenzo A. Pinna. “genuine” casein kinase (fam20c): the mother of the phosphosecretome. Kinomics, pages 47-62, Sep 2015. URL: https://doi.org/10.1002/9783527683031.ch2, doi:10.1002/9783527683031.ch2. This article has 2 citations.</w:t>
      </w:r>
    </w:p>
    <w:p>
      <w:pPr>
        <w:numPr>
          <w:ilvl w:val="0"/>
          <w:numId w:val="1001"/>
        </w:numPr>
      </w:pPr>
      <w:r>
        <w:t xml:space="preserve">(cui2015asecretorykinase pages 11-13): Jixin Cui, Junyu Xiao, Vincent S Tagliabracci, Jianzhong Wen, Meghdad Rahdar, and Jack E Dixon. A secretory kinase complex regulates extracellular protein phosphorylation. eLife, Mar 2015. URL: https://doi.org/10.7554/elife.06120, doi:10.7554/elife.06120. This article has 125 citations and is from a domain leading peer-reviewed journal.</w:t>
      </w:r>
    </w:p>
    <w:p>
      <w:pPr>
        <w:numPr>
          <w:ilvl w:val="0"/>
          <w:numId w:val="1001"/>
        </w:numPr>
      </w:pPr>
      <w:r>
        <w:t xml:space="preserve">(ishikawa2012therainesyndrome pages 1-2):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176 citations and is from a peer-reviewed journal.</w:t>
      </w:r>
    </w:p>
    <w:p>
      <w:pPr>
        <w:numPr>
          <w:ilvl w:val="0"/>
          <w:numId w:val="1001"/>
        </w:numPr>
      </w:pPr>
      <w:r>
        <w:t xml:space="preserve">(ishikawa2012therainesyndrome pages 2-3):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176 citations and is from a peer-reviewed journal.</w:t>
      </w:r>
    </w:p>
    <w:p>
      <w:pPr>
        <w:numPr>
          <w:ilvl w:val="0"/>
          <w:numId w:val="1001"/>
        </w:numPr>
      </w:pPr>
      <w:r>
        <w:t xml:space="preserve">(ishikawa2012therainesyndrome pages 3-5):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176 citations and is from a peer-reviewed journal.</w:t>
      </w:r>
    </w:p>
    <w:p>
      <w:pPr>
        <w:numPr>
          <w:ilvl w:val="0"/>
          <w:numId w:val="1001"/>
        </w:numPr>
      </w:pPr>
      <w:r>
        <w:t xml:space="preserve">(ishikawa2012therainesyndrome pages 6-7):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176 citations and is from a peer-reviewed journal.</w:t>
      </w:r>
    </w:p>
    <w:p>
      <w:pPr>
        <w:numPr>
          <w:ilvl w:val="0"/>
          <w:numId w:val="1001"/>
        </w:numPr>
      </w:pPr>
      <w:r>
        <w:t xml:space="preserve">(tagliabracci2013phosphorylationofsubstrates pages 1-2): Vincent S. Tagliabracci, Junyu Xiao, and Jack E. Dixon. Phosphorylation of substrates destined for secretion by the fam20 kinases. Biochemical Society transactions, 41 4:1061-5, Aug 2013. URL: https://doi.org/10.1042/bst20130059, doi:10.1042/bst20130059. This article has 26 citations and is from a peer-reviewed journal.</w:t>
      </w:r>
    </w:p>
    <w:p>
      <w:pPr>
        <w:numPr>
          <w:ilvl w:val="0"/>
          <w:numId w:val="1001"/>
        </w:numPr>
      </w:pPr>
      <w:r>
        <w:t xml:space="preserve">(tagliabracci2013phosphorylationofsubstrates pages 2-3): Vincent S. Tagliabracci, Junyu Xiao, and Jack E. Dixon. Phosphorylation of substrates destined for secretion by the fam20 kinases. Biochemical Society transactions, 41 4:1061-5, Aug 2013. URL: https://doi.org/10.1042/bst20130059, doi:10.1042/bst20130059. This article has 26 citations and is from a peer-reviewed journal.</w:t>
      </w:r>
    </w:p>
    <w:p>
      <w:pPr>
        <w:numPr>
          <w:ilvl w:val="0"/>
          <w:numId w:val="1001"/>
        </w:numPr>
      </w:pPr>
      <w:r>
        <w:t xml:space="preserve">(wu2021frombiomineralizationto pages 3-5): Yanbing Wu, Haoru Wang, and Chao Liu. From biomineralization to tumorogenesis—the expanding insight of the physiological and pathological roles of fam20c. Bioscience Reports, May 2021. URL: https://doi.org/10.1042/bsr20210040, doi:10.1042/bsr20210040. This article has 4 citations and is from a peer-reviewed journal.</w:t>
      </w:r>
    </w:p>
    <w:p>
      <w:pPr>
        <w:numPr>
          <w:ilvl w:val="0"/>
          <w:numId w:val="1001"/>
        </w:numPr>
      </w:pPr>
      <w:r>
        <w:t xml:space="preserve">(xu2021fam20cinhuman pages 1-2): Rongsheng Xu, Huidan Tan, Jiahui Zhang, Zhaoxin Yuan, Qiang Xie, and Lan Zhang. Fam20c in human diseases: emerging biological functions and therapeutic implications. Frontiers in Molecular Biosciences, Dec 2021. URL: https://doi.org/10.3389/fmolb.2021.790172, doi:10.3389/fmolb.2021.790172. This article has 17 citations and is from a peer-reviewed journal.</w:t>
      </w:r>
    </w:p>
    <w:p>
      <w:pPr>
        <w:numPr>
          <w:ilvl w:val="0"/>
          <w:numId w:val="1001"/>
        </w:numPr>
      </w:pPr>
      <w:r>
        <w:t xml:space="preserve">(zhang2018structureandevolution pages 3-4):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1"/>
        </w:numPr>
      </w:pPr>
      <w:r>
        <w:t xml:space="preserve">(zhang2018structureandevolution pages 9-10):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1"/>
        </w:numPr>
      </w:pPr>
      <w:r>
        <w:t xml:space="preserve">(cui2015asecretorykinase pages 2-4): Jixin Cui, Junyu Xiao, Vincent S Tagliabracci, Jianzhong Wen, Meghdad Rahdar, and Jack E Dixon. A secretory kinase complex regulates extracellular protein phosphorylation. eLife, Mar 2015. URL: https://doi.org/10.7554/elife.06120, doi:10.7554/elife.06120. This article has 125 citations and is from a domain leading peer-reviewed journal.</w:t>
      </w:r>
    </w:p>
    <w:p>
      <w:pPr>
        <w:numPr>
          <w:ilvl w:val="0"/>
          <w:numId w:val="1001"/>
        </w:numPr>
      </w:pPr>
      <w:r>
        <w:t xml:space="preserve">(cui2017structureoffam20a pages 6-8):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1"/>
        </w:numPr>
      </w:pPr>
      <w:r>
        <w:t xml:space="preserve">(filatova2015theroleof pages 17-20): A. Filatova. The role of fam20a in the generation of amelogenesis imperfecta. Unknown journal, 2015. URL: https://doi.org/10.5167/uzh-121801, doi:10.5167/uzh-121801. This article has 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2025-07-02T17:27:02Z</dcterms:created>
  <dcterms:modified xsi:type="dcterms:W3CDTF">2025-07-02T17:27:02Z</dcterms:modified>
</cp:coreProperties>
</file>

<file path=docProps/custom.xml><?xml version="1.0" encoding="utf-8"?>
<Properties xmlns="http://schemas.openxmlformats.org/officeDocument/2006/custom-properties" xmlns:vt="http://schemas.openxmlformats.org/officeDocument/2006/docPropsVTypes"/>
</file>