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CDK20/CCRK is a serine/threonine kinase of the CMGC group, positioned within the transcription-associated CDK subfamily and clearly separated from canonical cell-cycle CDKs such as CDK1/2/4/6 (malumbres2014cyclindependentkinases pages 1-2, wood2018structuralinsightsinto pages 1-2).</w:t>
      </w:r>
      <w:r>
        <w:br/>
      </w:r>
      <w:r>
        <w:t xml:space="preserve">Comprehensive kinome surveys derived from the Manning classification cluster CDK20 together with atypical CDKs (CDK10, CDK11) on the CMGC/CDK branch (chowdhury2023cmgckinasesin pages 2-4, lim2013cdkscyclinsand pages 15-15).</w:t>
      </w:r>
      <w:r>
        <w:br/>
      </w:r>
      <w:r>
        <w:t xml:space="preserve">Verified orthologs span diverse taxa:</w:t>
      </w:r>
      <w:r>
        <w:br/>
      </w:r>
      <w:r>
        <w:t xml:space="preserve">– Mus musculus: Cdk20 (chowdhury2023cmgckinasesin pages 2-4)</w:t>
      </w:r>
      <w:r>
        <w:br/>
      </w:r>
      <w:r>
        <w:t xml:space="preserve">– Danio rerio: ccrk (lim2013cdkscyclinsand pages 15-15)</w:t>
      </w:r>
      <w:r>
        <w:br/>
      </w:r>
      <w:r>
        <w:t xml:space="preserve">– Caenorhabditis elegans: DYF-5 (fu2019ciliogenesisassociatedkinase pages 2-4)</w:t>
      </w:r>
      <w:r>
        <w:br/>
      </w:r>
      <w:r>
        <w:t xml:space="preserve">– Drosophila melanogaster: CG14964 (lim2013cdkscyclinsand pages 15-15)</w:t>
      </w:r>
      <w:r>
        <w:br/>
      </w:r>
      <w:r>
        <w:t xml:space="preserve">– Chlamydomonas reinhardtii: LF2/LF4 (fu2019ciliogenesisassociatedkinase pages 2-4)</w:t>
      </w:r>
      <w:r>
        <w:br/>
      </w:r>
      <w:r>
        <w:t xml:space="preserve">– Leishmania mexicana: LmxMPK9 (unknownauthorsUnknownyearúlohacdk13během pages 37-40)</w:t>
      </w:r>
    </w:p>
    <w:bookmarkEnd w:id="9"/>
    <w:bookmarkStart w:id="10" w:name="reaction-catalyzed"/>
    <w:p>
      <w:pPr>
        <w:pStyle w:val="Heading2"/>
      </w:pPr>
      <w:r>
        <w:t xml:space="preserve">Reaction Catalyzed</w:t>
      </w:r>
    </w:p>
    <w:p>
      <w:pPr>
        <w:pStyle w:val="FirstParagraph"/>
      </w:pPr>
      <w:r>
        <w:t xml:space="preserve">ATP + [protein]-Ser/Thr → ADP + [protein]-O-phospho-Ser/Thr (fu2019ciliogenesisassociatedkinase pages 2-4).</w:t>
      </w:r>
    </w:p>
    <w:bookmarkEnd w:id="10"/>
    <w:bookmarkStart w:id="11" w:name="cofactor-requirements"/>
    <w:p>
      <w:pPr>
        <w:pStyle w:val="Heading2"/>
      </w:pPr>
      <w:r>
        <w:t xml:space="preserve">Cofactor Requirements</w:t>
      </w:r>
    </w:p>
    <w:p>
      <w:pPr>
        <w:pStyle w:val="FirstParagraph"/>
      </w:pPr>
      <w:r>
        <w:t xml:space="preserve">Catalytic turnover requires a divalent metal ion, typically Mg²⁺, to coordinate ATP in the active site, consistent with CMGC-group kinases (wood2018structuralinsightsinto pages 20-20).</w:t>
      </w:r>
    </w:p>
    <w:bookmarkEnd w:id="11"/>
    <w:bookmarkStart w:id="12" w:name="substrate-specificity"/>
    <w:p>
      <w:pPr>
        <w:pStyle w:val="Heading2"/>
      </w:pPr>
      <w:r>
        <w:t xml:space="preserve">Substrate Specificity</w:t>
      </w:r>
    </w:p>
    <w:p>
      <w:pPr>
        <w:pStyle w:val="FirstParagraph"/>
      </w:pPr>
      <w:r>
        <w:t xml:space="preserve">Experimental peptide-library profiling defined a preferred motif R-P-X-S/T-P/A/S/T with a stringent Arg at −3 and Pro at −2; Pro at +1 is not obligatory (fu2019ciliogenesisassociatedkinase pages 2-4).</w:t>
      </w:r>
      <w:r>
        <w:br/>
      </w:r>
      <w:r>
        <w:t xml:space="preserve">Documented physiological substrates include:</w:t>
      </w:r>
      <w:r>
        <w:br/>
      </w:r>
      <w:r>
        <w:t xml:space="preserve">– CDK2 Thr160 (malumbres2014cyclindependentkinases pages 1-2)</w:t>
      </w:r>
      <w:r>
        <w:br/>
      </w:r>
      <w:r>
        <w:t xml:space="preserve">– ICK/MRK Thr157 (fu2006identificationofyinyang pages 1-2)</w:t>
      </w:r>
      <w:r>
        <w:br/>
      </w:r>
      <w:r>
        <w:t xml:space="preserve">– KIF3A at a consensus RPXS motif (fu2019ciliogenesisassociatedkinase pages 2-4).</w:t>
      </w:r>
      <w:r>
        <w:br/>
      </w:r>
      <w:r>
        <w:t xml:space="preserve">A kinase-wide specificity atlas entry for CDK20 is not yet available (chen2022integrativemultiomicsanalysis pages 5-7).</w:t>
      </w:r>
    </w:p>
    <w:bookmarkEnd w:id="12"/>
    <w:bookmarkStart w:id="13" w:name="structure"/>
    <w:p>
      <w:pPr>
        <w:pStyle w:val="Heading2"/>
      </w:pPr>
      <w:r>
        <w:t xml:space="preserve">Structure</w:t>
      </w:r>
    </w:p>
    <w:p>
      <w:pPr>
        <w:pStyle w:val="FirstParagraph"/>
      </w:pPr>
      <w:r>
        <w:t xml:space="preserve">Domain organisation: an N-terminal bilobal kinase domain (~residues 1–300) followed by a large intrinsically disordered C-terminal segment required for substrate docking and subcellular localisation (fu2019ciliogenesisassociatedkinase pages 2-4).</w:t>
      </w:r>
      <w:r>
        <w:br/>
      </w:r>
      <w:r>
        <w:t xml:space="preserve">3-D information: high-confidence AlphaFold model AF-Q8IZL9-F1 predicts a canonical CDK fold with conserved β-sheet N-lobe, α-helix C-lobe and an ordered activation loop (wood2018structuralinsightsinto pages 20-20).</w:t>
      </w:r>
      <w:r>
        <w:br/>
      </w:r>
      <w:r>
        <w:t xml:space="preserve">Key catalytic elements:</w:t>
      </w:r>
      <w:r>
        <w:br/>
      </w:r>
      <w:r>
        <w:t xml:space="preserve">– Catalytic Lys (β3) forms a salt bridge with the αC-helix Glu to stabilise ATP binding (wood2018structuralinsightsinto pages 2-3).</w:t>
      </w:r>
      <w:r>
        <w:br/>
      </w:r>
      <w:r>
        <w:t xml:space="preserve">– Activation loop contains the regulatory Thr157; phosphorylation promotes alignment of the hydrophobic spine for full activity (wood2018structuralinsightsinto pages 18-19).</w:t>
      </w:r>
      <w:r>
        <w:br/>
      </w:r>
      <w:r>
        <w:t xml:space="preserve">– A PKKRP motif centred on Arg272 supports active-state stabilisation; R272 mutations abolish kinase function (fu2019ciliogenesisassociatedkinase pages 2-4).</w:t>
      </w:r>
    </w:p>
    <w:bookmarkEnd w:id="13"/>
    <w:bookmarkStart w:id="14" w:name="regulation"/>
    <w:p>
      <w:pPr>
        <w:pStyle w:val="Heading2"/>
      </w:pPr>
      <w:r>
        <w:t xml:space="preserve">Regulation</w:t>
      </w:r>
    </w:p>
    <w:p>
      <w:pPr>
        <w:pStyle w:val="FirstParagraph"/>
      </w:pPr>
      <w:r>
        <w:t xml:space="preserve">Post-translational modifications</w:t>
      </w:r>
      <w:r>
        <w:br/>
      </w:r>
      <w:r>
        <w:t xml:space="preserve">– Activation-loop phosphorylation at Thr157 by an upstream CAK (fu2019ciliogenesisassociatedkinase pages 2-4).</w:t>
      </w:r>
      <w:r>
        <w:br/>
      </w:r>
      <w:r>
        <w:t xml:space="preserve">– CCRK autophosphorylates Tyr within the ICK activation motif when acting as an upstream kinase for ICK (fu2006identificationofyinyang pages 1-2).</w:t>
      </w:r>
      <w:r>
        <w:br/>
      </w:r>
      <w:r>
        <w:t xml:space="preserve">Protein–protein interactions</w:t>
      </w:r>
      <w:r>
        <w:br/>
      </w:r>
      <w:r>
        <w:t xml:space="preserve">– Associates with cyclin H for activation, characteristic of transcriptional CDKs (malumbres2014cyclindependentkinases pages 1-2).</w:t>
      </w:r>
      <w:r>
        <w:br/>
      </w:r>
      <w:r>
        <w:t xml:space="preserve">– Stabilised by BRO/Broadminded (snouffer2017cellcyclerelatedkinase pages 12-14).</w:t>
      </w:r>
      <w:r>
        <w:br/>
      </w:r>
      <w:r>
        <w:t xml:space="preserve">Transcriptional and genomic control</w:t>
      </w:r>
      <w:r>
        <w:br/>
      </w:r>
      <w:r>
        <w:t xml:space="preserve">– Direct androgen-receptor target in hepatocytes, driving transcriptional up-regulation (malumbres2014cyclindependentkinases pages 9-10).</w:t>
      </w:r>
      <w:r>
        <w:br/>
      </w:r>
      <w:r>
        <w:t xml:space="preserve">– Frequently amplified and promoter-demethylated across multiple tumour types, leading to overexpression (chen2022integrativemultiomicsanalysis pages 11-16).</w:t>
      </w:r>
    </w:p>
    <w:bookmarkEnd w:id="14"/>
    <w:bookmarkStart w:id="15" w:name="function"/>
    <w:p>
      <w:pPr>
        <w:pStyle w:val="Heading2"/>
      </w:pPr>
      <w:r>
        <w:t xml:space="preserve">Function</w:t>
      </w:r>
    </w:p>
    <w:p>
      <w:pPr>
        <w:pStyle w:val="FirstParagraph"/>
      </w:pPr>
      <w:r>
        <w:t xml:space="preserve">Ciliogenesis and Hedgehog signalling</w:t>
      </w:r>
      <w:r>
        <w:br/>
      </w:r>
      <w:r>
        <w:t xml:space="preserve">– Coordinates assembly of ciliary membrane and axoneme with TBC1D32, enabling high-level Shh/GLI2 responses in the neural tube (snouffer2017cellcyclerelatedkinase pages 2-4).</w:t>
      </w:r>
      <w:r>
        <w:br/>
      </w:r>
      <w:r>
        <w:t xml:space="preserve">– Restricts primary cilium length and promotes import of Hedgehog components Gli2 and Smoothened (fu2019ciliogenesisassociatedkinase pages 2-4).</w:t>
      </w:r>
      <w:r>
        <w:br/>
      </w:r>
      <w:r>
        <w:t xml:space="preserve">Cell-cycle regulation</w:t>
      </w:r>
      <w:r>
        <w:br/>
      </w:r>
      <w:r>
        <w:t xml:space="preserve">– Functions as a CDK-activating kinase for CDK2 by phosphorylating Thr160, thereby supporting G1/S progression (malumbres2014cyclindependentkinases pages 1-2).</w:t>
      </w:r>
      <w:r>
        <w:br/>
      </w:r>
      <w:r>
        <w:t xml:space="preserve">Additional signalling nodes</w:t>
      </w:r>
      <w:r>
        <w:br/>
      </w:r>
      <w:r>
        <w:t xml:space="preserve">– Phosphorylates ICK and KIF3A, linking CCRK to autophagy and mTORC1 regulation (fu2019ciliogenesisassociatedkinase pages 2-4).</w:t>
      </w:r>
      <w:r>
        <w:br/>
      </w:r>
      <w:r>
        <w:t xml:space="preserve">Expression pattern</w:t>
      </w:r>
      <w:r>
        <w:br/>
      </w:r>
      <w:r>
        <w:t xml:space="preserve">– Enriched in proliferative compartments such as intestinal crypt epithelium and regenerating tissues (fu2019ciliogenesisassociatedkinase pages 2-4).</w:t>
      </w:r>
    </w:p>
    <w:bookmarkEnd w:id="15"/>
    <w:bookmarkStart w:id="16" w:name="other-comments"/>
    <w:p>
      <w:pPr>
        <w:pStyle w:val="Heading2"/>
      </w:pPr>
      <w:r>
        <w:t xml:space="preserve">Other Comments</w:t>
      </w:r>
    </w:p>
    <w:p>
      <w:pPr>
        <w:pStyle w:val="FirstParagraph"/>
      </w:pPr>
      <w:r>
        <w:t xml:space="preserve">Disease associations</w:t>
      </w:r>
      <w:r>
        <w:br/>
      </w:r>
      <w:r>
        <w:t xml:space="preserve">– Loss-of-function mutations, especially within the PKKRP motif, cause ciliopathy phenotypes (e.g., ECO syndrome) and epilepsy (fu2019ciliogenesisassociatedkinase pages 2-4).</w:t>
      </w:r>
      <w:r>
        <w:br/>
      </w:r>
      <w:r>
        <w:t xml:space="preserve">– Oncogenic roles include β-catenin/TCF-driven hepatocarcinogenesis and cilium-dependent glioblastoma proliferation (malumbres2014cyclindependentkinases pages 9-10).</w:t>
      </w:r>
      <w:r>
        <w:br/>
      </w:r>
      <w:r>
        <w:t xml:space="preserve">– High CDK20 expression correlates with resistance to several anticancer drugs in pan-cancer analyses (chen2022integrativemultiomicsanalysis pages 11-16).</w:t>
      </w:r>
    </w:p>
    <w:p>
      <w:pPr>
        <w:pStyle w:val="BodyText"/>
      </w:pPr>
      <w:r>
        <w:t xml:space="preserve">References</w:t>
      </w:r>
    </w:p>
    <w:p>
      <w:pPr>
        <w:numPr>
          <w:ilvl w:val="0"/>
          <w:numId w:val="1001"/>
        </w:numPr>
      </w:pPr>
      <w:r>
        <w:t xml:space="preserve">(chen2022integrativemultiomicsanalysis pages 11-16): Integrative multi-omics analysis reveals the landscape of Cyclin-Dependent Kinase (CDK) family genes in pan-cancer</w:t>
      </w:r>
    </w:p>
    <w:p>
      <w:pPr>
        <w:numPr>
          <w:ilvl w:val="0"/>
          <w:numId w:val="1001"/>
        </w:numPr>
      </w:pPr>
      <w:r>
        <w:t xml:space="preserve">(chowdhury2023cmgckinasesin pages 2-4): Iftekhar Chowdhury, Giovanna Dashi, and Salla Keskitalo. Cmgc kinases in health and cancer. Cancers, 15:3838, Jul 2023. URL: https://doi.org/10.3390/cancers15153838, doi:10.3390/cancers15153838. This article has 19 citations and is from a peer-reviewed journal.</w:t>
      </w:r>
    </w:p>
    <w:p>
      <w:pPr>
        <w:numPr>
          <w:ilvl w:val="0"/>
          <w:numId w:val="1001"/>
        </w:numPr>
      </w:pPr>
      <w:r>
        <w:t xml:space="preserve">(malumbres2014cyclindependentkinases pages 1-2): Marcos Malumbres. Cyclin-dependent kinases. Genome Biology, 15:122-122, Jun 2014. URL: https://doi.org/10.1186/gb4184, doi:10.1186/gb4184. This article has 1898 citations and is from a highest quality peer-reviewed journal.</w:t>
      </w:r>
    </w:p>
    <w:p>
      <w:pPr>
        <w:numPr>
          <w:ilvl w:val="0"/>
          <w:numId w:val="1001"/>
        </w:numPr>
      </w:pPr>
      <w:r>
        <w:t xml:space="preserve">(unknownauthorsUnknownyearúlohacdk13během pages 37-40): Úloha CDK13 během embryogenéze</w:t>
      </w:r>
    </w:p>
    <w:p>
      <w:pPr>
        <w:numPr>
          <w:ilvl w:val="0"/>
          <w:numId w:val="1001"/>
        </w:numPr>
      </w:pPr>
      <w:r>
        <w:t xml:space="preserve">(fu2019ciliogenesisassociatedkinase pages 2-4): Zheng Fu, Casey D. Gailey, Eric J. Wang, and David L. Brautigan. Ciliogenesis associated kinase 1: targets and functions in various organ systems. FEBS Letters, Nov 2019. URL: https://doi.org/10.1002/1873-3468.13600, doi:10.1002/1873-3468.13600. This article has 31 citations and is from a peer-reviewed journal.</w:t>
      </w:r>
    </w:p>
    <w:p>
      <w:pPr>
        <w:numPr>
          <w:ilvl w:val="0"/>
          <w:numId w:val="1001"/>
        </w:numPr>
      </w:pPr>
      <w:r>
        <w:t xml:space="preserve">(lim2013cdkscyclinsand pages 15-15): Shuhui Lim and P. Kaldis. Cdks, cyclins and ckis: roles beyond cell cycle regulation. Development, 140:3079-3093, Aug 2013. URL: https://doi.org/10.1242/dev.091744, doi:10.1242/dev.091744. This article has 1914 citations and is from a domain leading peer-reviewed journal.</w:t>
      </w:r>
    </w:p>
    <w:p>
      <w:pPr>
        <w:numPr>
          <w:ilvl w:val="0"/>
          <w:numId w:val="1001"/>
        </w:numPr>
      </w:pPr>
      <w:r>
        <w:t xml:space="preserve">(malumbres2014cyclindependentkinases pages 9-10): Marcos Malumbres. Cyclin-dependent kinases. Genome Biology, 15:122-122, Jun 2014. URL: https://doi.org/10.1186/gb4184, doi:10.1186/gb4184. This article has 1898 citations and is from a highest quality peer-reviewed journal.</w:t>
      </w:r>
    </w:p>
    <w:p>
      <w:pPr>
        <w:numPr>
          <w:ilvl w:val="0"/>
          <w:numId w:val="1001"/>
        </w:numPr>
      </w:pPr>
      <w:r>
        <w:t xml:space="preserve">(snouffer2017cellcyclerelatedkinase pages 2-4): Ashley Snouffer, Desmond A. Brown, Hankyu Lee, Jonathon D. Walsh, F. Lupu, Ryan X Norman, K. Lechtreck, H. Ko, and Jonathan Eggenschwiler. Cell cycle-related kinase (ccrk) regulates ciliogenesis and hedgehog signaling in mice. PLoS Genetics, Aug 2017. URL: https://doi.org/10.1371/journal.pgen.1006912, doi:10.1371/journal.pgen.1006912. This article has 49 citations and is from a domain leading peer-reviewed journal.</w:t>
      </w:r>
    </w:p>
    <w:p>
      <w:pPr>
        <w:numPr>
          <w:ilvl w:val="0"/>
          <w:numId w:val="1001"/>
        </w:numPr>
      </w:pPr>
      <w:r>
        <w:t xml:space="preserve">(wood2018structuralinsightsinto pages 1-2):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(wood2018structuralinsightsinto pages 18-19):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(chen2022integrativemultiomicsanalysis pages 5-7): Integrative multi-omics analysis reveals the landscape of Cyclin-Dependent Kinase (CDK) family genes in pan-cancer</w:t>
      </w:r>
    </w:p>
    <w:p>
      <w:pPr>
        <w:numPr>
          <w:ilvl w:val="0"/>
          <w:numId w:val="1001"/>
        </w:numPr>
      </w:pPr>
      <w:r>
        <w:t xml:space="preserve">(fu2006identificationofyinyang pages 1-2):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78 citations and is from a domain leading peer-reviewed journal.</w:t>
      </w:r>
    </w:p>
    <w:p>
      <w:pPr>
        <w:numPr>
          <w:ilvl w:val="0"/>
          <w:numId w:val="1001"/>
        </w:numPr>
      </w:pPr>
      <w:r>
        <w:t xml:space="preserve">(snouffer2017cellcyclerelatedkinase pages 12-14): Ashley Snouffer, Desmond A. Brown, Hankyu Lee, Jonathon D. Walsh, F. Lupu, Ryan X Norman, K. Lechtreck, H. Ko, and Jonathan Eggenschwiler. Cell cycle-related kinase (ccrk) regulates ciliogenesis and hedgehog signaling in mice. PLoS Genetics, Aug 2017. URL: https://doi.org/10.1371/journal.pgen.1006912, doi:10.1371/journal.pgen.1006912. This article has 49 citations and is from a domain leading peer-reviewed journal.</w:t>
      </w:r>
    </w:p>
    <w:p>
      <w:pPr>
        <w:numPr>
          <w:ilvl w:val="0"/>
          <w:numId w:val="1001"/>
        </w:numPr>
      </w:pPr>
      <w:r>
        <w:t xml:space="preserve">(wood2018structuralinsightsinto pages 2-3):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1"/>
        </w:numPr>
      </w:pPr>
      <w:r>
        <w:t xml:space="preserve">(wood2018structuralinsightsinto pages 20-20): Daniel J. Wood and Jane A. Endicott. Structural insights into the functional diversity of the cdk–cyclin family. Open Biology, Sep 2018. URL: https://doi.org/10.1098/rsob.180112, doi:10.1098/rsob.180112. This article has 267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2025-07-02T17:27:29Z</dcterms:created>
  <dcterms:modified xsi:type="dcterms:W3CDTF">2025-07-02T17:27:29Z</dcterms:modified>
</cp:coreProperties>
</file>

<file path=docProps/custom.xml><?xml version="1.0" encoding="utf-8"?>
<Properties xmlns="http://schemas.openxmlformats.org/officeDocument/2006/custom-properties" xmlns:vt="http://schemas.openxmlformats.org/officeDocument/2006/docPropsVTypes"/>
</file>