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Classified in the AMP-activated protein kinase-related kinase (ARK) subfamily of the CAMK group (bendzunas2024redoxregulationof pages 3-7)</w:t>
      </w:r>
      <w:r>
        <w:br/>
      </w:r>
      <w:r>
        <w:t xml:space="preserve">• Closest human paralog is BRSK2; sister branches include NUAK1-2, SIK1-3, MARK1-4 and MELK (bendzunas2024redoxregulationof pages 3-7)</w:t>
      </w:r>
      <w:r>
        <w:br/>
      </w:r>
      <w:r>
        <w:t xml:space="preserve">• Vertebrate orthologs: mouse SAD-B, rat Brsk1, zebrafish brsk1 (bright2008investigatingtheregulation pages 1-1)</w:t>
      </w:r>
      <w:r>
        <w:br/>
      </w:r>
      <w:r>
        <w:t xml:space="preserve">• Invertebrate orthologs: C. elegans SAD-1, Drosophila SAD, ascidian HrPOPK-1 (unknownauthors2011theregulationof pages 65-70)</w:t>
      </w:r>
      <w:r>
        <w:br/>
      </w:r>
      <w:r>
        <w:t xml:space="preserve">• Redox-regulatory cysteine constellation conserved across metazoan BRSKs (bendzunas2025redoxregulationand pages 5-7)</w:t>
      </w:r>
    </w:p>
    <w:bookmarkEnd w:id="9"/>
    <w:bookmarkStart w:id="10" w:name="reaction-catalyzed"/>
    <w:p>
      <w:pPr>
        <w:pStyle w:val="Heading2"/>
      </w:pPr>
      <w:r>
        <w:t xml:space="preserve">Reaction Catalyzed</w:t>
      </w:r>
    </w:p>
    <w:p>
      <w:pPr>
        <w:pStyle w:val="FirstParagraph"/>
      </w:pPr>
      <w:r>
        <w:t xml:space="preserve">ATP + protein-Ser/Thr → ADP + protein-O-phospho-Ser/Thr (bendzunas2024redoxregulationof pages 1-3)</w:t>
      </w:r>
    </w:p>
    <w:bookmarkEnd w:id="10"/>
    <w:bookmarkStart w:id="11" w:name="cofactor-requirements"/>
    <w:p>
      <w:pPr>
        <w:pStyle w:val="Heading2"/>
      </w:pPr>
      <w:r>
        <w:t xml:space="preserve">Cofactor Requirements</w:t>
      </w:r>
    </w:p>
    <w:p>
      <w:pPr>
        <w:pStyle w:val="FirstParagraph"/>
      </w:pPr>
      <w:r>
        <w:t xml:space="preserve">Catalysis requires divalent Mg²⁺ or Mn²⁺ ions (unknownauthors2011theregulationof pages 59-65)</w:t>
      </w:r>
    </w:p>
    <w:bookmarkEnd w:id="11"/>
    <w:bookmarkStart w:id="12" w:name="substrate-specificity"/>
    <w:p>
      <w:pPr>
        <w:pStyle w:val="Heading2"/>
      </w:pPr>
      <w:r>
        <w:t xml:space="preserve">Substrate Specificity</w:t>
      </w:r>
    </w:p>
    <w:p>
      <w:pPr>
        <w:pStyle w:val="FirstParagraph"/>
      </w:pPr>
      <w:r>
        <w:t xml:space="preserve">• Motif profiling places BRSK1 in the basophilic class, favoring basic residues at −3/−4 from the phospho-site (johnson2023anatlasof pages 4-5)</w:t>
      </w:r>
      <w:r>
        <w:br/>
      </w:r>
      <w:r>
        <w:t xml:space="preserve">• Validated substrates and mapped sites: Tau Thr529/Ser579, WEE1 Ser642, γ-tubulin Ser131, RIM1 Ser413, CDC25B/C (unknownauthors2014lkb1ampktsc2signalingpathway pages 56-60)</w:t>
      </w:r>
      <w:r>
        <w:br/>
      </w:r>
      <w:r>
        <w:t xml:space="preserve">• Additional neuronal substrate Tau Ser262 demonstrated in cell assays (bendzunas2024redoxregulationof pages 37-45)</w:t>
      </w:r>
    </w:p>
    <w:bookmarkEnd w:id="12"/>
    <w:bookmarkStart w:id="13" w:name="structure"/>
    <w:p>
      <w:pPr>
        <w:pStyle w:val="Heading2"/>
      </w:pPr>
      <w:r>
        <w:t xml:space="preserve">Structure</w:t>
      </w:r>
    </w:p>
    <w:p>
      <w:pPr>
        <w:pStyle w:val="FirstParagraph"/>
      </w:pPr>
      <w:r>
        <w:t xml:space="preserve">• Domain layout: N-terminal kinase, UBA, proline-rich spacer, KA1, C-terminal AIS (bendzunas2024redoxregulationof pages 37-45)</w:t>
      </w:r>
      <w:r>
        <w:br/>
      </w:r>
      <w:r>
        <w:t xml:space="preserve">• Catalytic core: Lys40 (VAIK), Glu59 (α-C), HRD166-168, DFG182-184, activation loop Thr189 (bright2008investigatingtheregulation pages 1-1)</w:t>
      </w:r>
      <w:r>
        <w:br/>
      </w:r>
      <w:r>
        <w:t xml:space="preserve">• APE alanine replaced by redox-sensitive Cys198 forming a unique CPE motif (bendzunas2024redoxregulationof pages 15-18)</w:t>
      </w:r>
      <w:r>
        <w:br/>
      </w:r>
      <w:r>
        <w:t xml:space="preserve">• Intramolecular disulfides C147-C153 and C191-C198 verified by LC-MS/MS (bendzunas2024redoxregulationof pages 58-65)</w:t>
      </w:r>
      <w:r>
        <w:br/>
      </w:r>
      <w:r>
        <w:t xml:space="preserve">• T-loop +2 cysteine supports reversible dimerisation in solution (bendzunas2025redoxregulationand pages 14-15)</w:t>
      </w:r>
      <w:r>
        <w:br/>
      </w:r>
      <w:r>
        <w:t xml:space="preserve">• AlphaFold model AF-Q8TDC3-F1 confirms fold and positions regulatory cysteines (bendzunas2024redoxregulationof pages 32-35)</w:t>
      </w:r>
    </w:p>
    <w:bookmarkEnd w:id="13"/>
    <w:bookmarkStart w:id="14" w:name="regulation"/>
    <w:p>
      <w:pPr>
        <w:pStyle w:val="Heading2"/>
      </w:pPr>
      <w:r>
        <w:t xml:space="preserve">Regulation</w:t>
      </w:r>
    </w:p>
    <w:p>
      <w:pPr>
        <w:pStyle w:val="FirstParagraph"/>
      </w:pPr>
      <w:r>
        <w:t xml:space="preserve">• LKB1 phosphorylates Thr189 to activate BRSK1 (bright2008investigatingtheregulation pages 1-1)</w:t>
      </w:r>
      <w:r>
        <w:br/>
      </w:r>
      <w:r>
        <w:t xml:space="preserve">• Ser447/Ser469 phosphorylation creates 14-3-3 docking sites modulating localisation (bendzunas2025redoxregulationand pages 26-26)</w:t>
      </w:r>
      <w:r>
        <w:br/>
      </w:r>
      <w:r>
        <w:t xml:space="preserve">• PP2C dephosphorylates the activation loop to inactivate the kinase (bright2008investigatingtheregulation pages 1-1)</w:t>
      </w:r>
      <w:r>
        <w:br/>
      </w:r>
      <w:r>
        <w:t xml:space="preserve">• TRIM32 ubiquitinates BRSK1, promoting degradation (unknownauthors2014lkb1ampktsc2signalingpathway pages 56-60)</w:t>
      </w:r>
      <w:r>
        <w:br/>
      </w:r>
      <w:r>
        <w:t xml:space="preserve">• Oxidation of HRD-proximal and activation-segment cysteines forms reversible disulfides that suppress activity; DTT restores it (bendzunas2024redoxregulationof pages 18-20)</w:t>
      </w:r>
      <w:r>
        <w:br/>
      </w:r>
      <w:r>
        <w:t xml:space="preserve">• Limited intermolecular disulfide-driven dimers provide an additional redox switch (bendzunas2025redoxregulationand pages 14-15)</w:t>
      </w:r>
      <w:r>
        <w:br/>
      </w:r>
      <w:r>
        <w:t xml:space="preserve">• Palmitoylation targets BRSK1 to lipid rafts, enhancing Thr189 phosphorylation (unknownauthors2014regulaciódela pages 221-225)</w:t>
      </w:r>
    </w:p>
    <w:bookmarkEnd w:id="14"/>
    <w:bookmarkStart w:id="15" w:name="function"/>
    <w:p>
      <w:pPr>
        <w:pStyle w:val="Heading2"/>
      </w:pPr>
      <w:r>
        <w:t xml:space="preserve">Function</w:t>
      </w:r>
    </w:p>
    <w:p>
      <w:pPr>
        <w:pStyle w:val="FirstParagraph"/>
      </w:pPr>
      <w:r>
        <w:t xml:space="preserve">• Expression enriched in forebrain, hippocampus and cerebellum; lower in pancreas and testis (bright2008investigatingtheregulation pages 1-1)</w:t>
      </w:r>
      <w:r>
        <w:br/>
      </w:r>
      <w:r>
        <w:t xml:space="preserve">• Activated by the LKB1–STRAD–MO25 complex (unknownauthors2014lkb1ampktsc2signalingpathway pages 56-60)</w:t>
      </w:r>
      <w:r>
        <w:br/>
      </w:r>
      <w:r>
        <w:t xml:space="preserve">• Governs neuronal polarity via Tau and WEE1 phosphorylation (unknownauthors2014lkb1ampktsc2signalingpathway pages 56-60)</w:t>
      </w:r>
      <w:r>
        <w:br/>
      </w:r>
      <w:r>
        <w:t xml:space="preserve">• Promotes centrosome duplication through γ-tubulin Ser131 phosphorylation (unknownauthors2014lkb1ampktsc2signalingpathway pages 56-60)</w:t>
      </w:r>
      <w:r>
        <w:br/>
      </w:r>
      <w:r>
        <w:t xml:space="preserve">• Localises to synaptic vesicles; RIM1 Ser413 phosphorylation supports neurotransmitter release (unknownauthors2011theregulationof pages 65-70)</w:t>
      </w:r>
      <w:r>
        <w:br/>
      </w:r>
      <w:r>
        <w:t xml:space="preserve">• Contributes to UV-induced DNA damage checkpoint via CDC25C phosphorylation (unknownauthors2011theregulationof pages 65-70)</w:t>
      </w:r>
      <w:r>
        <w:br/>
      </w:r>
      <w:r>
        <w:t xml:space="preserve">• Cys-based redox switches link BRSK1 to NRF2-related oxidative-stress pathways (bendzunas2025redoxregulationand pages 15-17)</w:t>
      </w:r>
    </w:p>
    <w:bookmarkEnd w:id="15"/>
    <w:bookmarkStart w:id="16" w:name="inhibitors"/>
    <w:p>
      <w:pPr>
        <w:pStyle w:val="Heading2"/>
      </w:pPr>
      <w:r>
        <w:t xml:space="preserve">Inhibitors</w:t>
      </w:r>
    </w:p>
    <w:p>
      <w:pPr>
        <w:pStyle w:val="FirstParagraph"/>
      </w:pPr>
      <w:r>
        <w:t xml:space="preserve">• GW296115, a bis-indolocarbazole, inhibits BRSK1/2; cellular NanoBRET IC₅₀ ≈ 107 nM with low toxicity (tamir2020pkisdeepdive pages 7-8)</w:t>
      </w:r>
    </w:p>
    <w:bookmarkEnd w:id="16"/>
    <w:bookmarkStart w:id="17" w:name="other-comments"/>
    <w:p>
      <w:pPr>
        <w:pStyle w:val="Heading2"/>
      </w:pPr>
      <w:r>
        <w:t xml:space="preserve">Other Comments</w:t>
      </w:r>
    </w:p>
    <w:p>
      <w:pPr>
        <w:pStyle w:val="FirstParagraph"/>
      </w:pPr>
      <w:r>
        <w:t xml:space="preserve">• GWAS link BRSK1 variants to premature ovarian insufficiency and age-at-menopause traits (bendzunas2024redoxregulationof pages 32-35)</w:t>
      </w:r>
    </w:p>
    <w:p>
      <w:pPr>
        <w:pStyle w:val="BodyText"/>
      </w:pPr>
      <w:r>
        <w:t xml:space="preserve">References</w:t>
      </w:r>
    </w:p>
    <w:p>
      <w:pPr>
        <w:numPr>
          <w:ilvl w:val="0"/>
          <w:numId w:val="1001"/>
        </w:numPr>
      </w:pPr>
      <w:r>
        <w:t xml:space="preserve">(bendzunas2024redoxregulationof pages 15-18):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3-7):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32-35):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(bendzunas2025redoxregulationand pages 26-26):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(bendzunas2025redoxregulationand pages 5-7):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(bright2008investigatingtheregulation pages 1-1):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(unknownauthors2011theregulationof pages 65-70): The regulation of tau-dependent neurodegeneration by Brain Selective/SAD kinases</w:t>
      </w:r>
    </w:p>
    <w:p>
      <w:pPr>
        <w:numPr>
          <w:ilvl w:val="0"/>
          <w:numId w:val="1001"/>
        </w:numPr>
      </w:pPr>
      <w:r>
        <w:t xml:space="preserve">(unknownauthors2014lkb1ampktsc2signalingpathway pages 56-60): LKB1/AMPK/TSC2 signaling pathway alterations in non-small-cell-lung-carcinoma</w:t>
      </w:r>
    </w:p>
    <w:p>
      <w:pPr>
        <w:numPr>
          <w:ilvl w:val="0"/>
          <w:numId w:val="1001"/>
        </w:numPr>
      </w:pPr>
      <w:r>
        <w:t xml:space="preserve">(unknownauthors2014regulaciódela pages 221-225): Regulació de la Brain-specific Kinase 1 (BRSK1) neuronal per sulfàtid i modificacions post-traduccionals</w:t>
      </w:r>
    </w:p>
    <w:p>
      <w:pPr>
        <w:numPr>
          <w:ilvl w:val="0"/>
          <w:numId w:val="1001"/>
        </w:numPr>
      </w:pPr>
      <w:r>
        <w:t xml:space="preserve">(bendzunas2024redoxregulationof pages 1-3):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37-45):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58-65):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(bendzunas2025redoxregulationand pages 14-15):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(unknownauthors2011theregulationof pages 59-65): The regulation of tau-dependent neurodegeneration by Brain Selective/SAD kinases</w:t>
      </w:r>
    </w:p>
    <w:p>
      <w:pPr>
        <w:numPr>
          <w:ilvl w:val="0"/>
          <w:numId w:val="1001"/>
        </w:numPr>
      </w:pPr>
      <w:r>
        <w:t xml:space="preserve">(bendzunas2024redoxregulationof pages 18-20):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(bendzunas2025redoxregulationand pages 15-17):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(tamir2020pkisdeepdive pages 7-8): Tigist Y Tamir, David H. Drewry, C. Wells, M. B. Major, M. B. Major, and Alison D. Axtman. Pkis deep dive yields a chemical starting point for dark kinases and a cell active brsk2 inhibitor. Scientific Reports, Jun 2020. URL: https://doi.org/10.1038/s41598-020-72869-9, doi:10.1038/s41598-020-72869-9. This article has 12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2025-07-02T17:27:03Z</dcterms:created>
  <dcterms:modified xsi:type="dcterms:W3CDTF">2025-07-02T17:27:03Z</dcterms:modified>
</cp:coreProperties>
</file>

<file path=docProps/custom.xml><?xml version="1.0" encoding="utf-8"?>
<Properties xmlns="http://schemas.openxmlformats.org/officeDocument/2006/custom-properties" xmlns:vt="http://schemas.openxmlformats.org/officeDocument/2006/docPropsVTypes"/>
</file>