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Group: AGC serine/threonine protein kinase family (arencibia2013agcproteinkinases pages 1-2).</w:t>
      </w:r>
      <w:r>
        <w:br/>
      </w:r>
      <w:r>
        <w:t xml:space="preserve">• Subfamily: SGK-related branch; nearest paralogs include canonical SGK isoforms and the pseudo-kinases RSKL1 / RSKL2 (arencibia2013agcproteinkinases pages 2-3).</w:t>
      </w:r>
      <w:r>
        <w:br/>
      </w:r>
      <w:r>
        <w:t xml:space="preserve">• Ortholog distribution: SGK-like kinases occur across animals, plants, fungi, protists and chromists and are absent from prokaryotes (arencibia2013agcproteinkinases pages 1-2).</w:t>
      </w:r>
      <w:r>
        <w:br/>
      </w:r>
      <w:r>
        <w:t xml:space="preserve">• Kinome placement: listed among the &gt;60 human AGC kinases that comprise ≈12 % of the human kinome (arencibia2013agcproteinkinases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protein-L-Ser/Thr-OH ⇌ ADP + protein-L-Ser/Thr-O-phosphate (unknownauthors2021integrativeanalysisof pages 19-25).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cations, preferentially Mg²⁺ or Mn²⁺ (arencibia2013agcproteinkinases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No experimentally defined consensus phosphorylation motif has been reported for SGK494; the kinase is not represented in current substrate-specificity atlases (pearce2010thenutsand pages 1-2).</w:t>
      </w:r>
      <w:r>
        <w:br/>
      </w:r>
      <w:r>
        <w:t xml:space="preserve">• AGC kinases generally phosphorylate basophilic motifs bearing basic residues at positions −2 to −5 relative to the target serine/threonine (unknownauthors2018agckinasesmechanisms pages 2-3).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single protein-kinase catalytic core; lacks an N-terminal regulatory module and lacks a canonical C-terminal hydrophobic-motif tail (arencibia2013agcproteinkinases pages 3-4).</w:t>
      </w:r>
      <w:r>
        <w:br/>
      </w:r>
      <w:r>
        <w:t xml:space="preserve">• Conserved catalytic motifs (VAIK, HRD, DFG) are present by sequence conservation within the AGC family (arencibia2013agcproteinkinases pages 1-2).</w:t>
      </w:r>
      <w:r>
        <w:br/>
      </w:r>
      <w:r>
        <w:t xml:space="preserve">• Activation loop: segment 259-TICGT-263 with phospho-acceptor Thr262 (pearce2010thenutsand pages 1-2).</w:t>
      </w:r>
      <w:r>
        <w:br/>
      </w:r>
      <w:r>
        <w:t xml:space="preserve">• 3-D fold: AlphaFold model AF-Q96LW2-F1 predicts the canonical bilobal kinase architecture with an N-lobe five-strand β-sheet and αC helix adjoining an α-helical C-lobe (unknownauthors2021integrativeanalysisof pages 19-25).</w:t>
      </w:r>
      <w:r>
        <w:br/>
      </w:r>
      <w:r>
        <w:t xml:space="preserve">• Regulatory pocket: retains the AGC-typical PIF-pocket for allosteric docking (arencibia2013agcproteinkinases pages 1-2).</w:t>
      </w:r>
      <w:r>
        <w:br/>
      </w:r>
      <w:r>
        <w:t xml:space="preserve">• Hydrophobic-motif docking site is unoccupied because an HM tail is not encoded (arencibia2013agcproteinkinases pages 3-4).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</w:t>
      </w:r>
      <w:r>
        <w:br/>
      </w:r>
      <w:r>
        <w:t xml:space="preserve">– Thr262 (activation loop) is documented (pearce2010thenutsand pages 1-2).</w:t>
      </w:r>
      <w:r>
        <w:br/>
      </w:r>
      <w:r>
        <w:t xml:space="preserve">– Turn-motif and hydrophobic-motif phosphorylations have not been observed (pearce2010thenutsand pages 1-2).</w:t>
      </w:r>
      <w:r>
        <w:br/>
      </w:r>
      <w:r>
        <w:t xml:space="preserve">– Upstream kinase(s) responsible for Thr262 phosphorylation have not been reported (pearce2010thenutsand pages 1-2).</w:t>
      </w:r>
      <w:r>
        <w:br/>
      </w:r>
      <w:r>
        <w:t xml:space="preserve">• Allosteric control: presence of the PIF-pocket confers potential AGC-typical conformational regulation, although SGK494-specific mechanisms have not been experimentally defined (arencibia2013agcproteinkinases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peer-reviewed literature surveyed to date does not report tissue-specific expression profiles for SGK494 (arencibia2013agcproteinkinases pages 3-4).</w:t>
      </w:r>
      <w:r>
        <w:br/>
      </w:r>
      <w:r>
        <w:t xml:space="preserve">• Interactors and downstream substrates: none documented in current peer-reviewed interactome studies (garciaaranda2019targetingreceptorkinases pages 3-4).</w:t>
      </w:r>
      <w:r>
        <w:br/>
      </w:r>
      <w:r>
        <w:t xml:space="preserve">• Signalling pathways: no pathway assignments have been reported for SGK494 in the cited literature (arencibia2013agcproteinkinases pages 3-4).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disease associations, recurrent mutations or pharmacological inhibitors specific to SGK494 have been described in the referenced peer-reviewed sources (arencibia2013agcproteinkinases pages 3-4, garciaaranda2019targetingreceptorkinases pages 3-4).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(arencibia2013agcproteinkinases pages 1-2): José M. Arencibia, Daniel Pastor-Flores, Angelika F. Bauer, Jörg O. Schulze, and Ricardo M. Biondi. Agc protein kinases: from structural mechanism of regulation to allosteric drug development for the treatment of human diseases. Biochimica et Biophysica Acta (BBA) - Proteins and Proteomics, 1834:1302-1321, Jul 2013. URL: https://doi.org/10.1016/j.bbapap.2013.03.010, doi:10.1016/j.bbapap.2013.03.010. This article has 239 citations.</w:t>
      </w:r>
    </w:p>
    <w:p>
      <w:pPr>
        <w:numPr>
          <w:ilvl w:val="0"/>
          <w:numId w:val="1001"/>
        </w:numPr>
      </w:pPr>
      <w:r>
        <w:t xml:space="preserve">(pearce2010thenutsand pages 1-2): Laura R. Pearce, David Komander, and Dario R. Alessi. The nuts and bolts of agc protein kinases. Nature Reviews Molecular Cell Biology, 11:9-22, Jan 2010. URL: https://doi.org/10.1038/nrm2822, doi:10.1038/nrm2822. This article has 1658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(unknownauthors2018agckinasesmechanisms pages 2-3): AGC kinases, mechanisms of regulation‎ and innovative drug development</w:t>
      </w:r>
    </w:p>
    <w:p>
      <w:pPr>
        <w:numPr>
          <w:ilvl w:val="0"/>
          <w:numId w:val="1001"/>
        </w:numPr>
      </w:pPr>
      <w:r>
        <w:t xml:space="preserve">(unknownauthors2021integrativeanalysisof pages 19-25): Integrative Analysis of Multi-omics Kinome Data and Virtual Screening of Identified Targets with Pan-Cancer Application</w:t>
      </w:r>
    </w:p>
    <w:p>
      <w:pPr>
        <w:numPr>
          <w:ilvl w:val="0"/>
          <w:numId w:val="1001"/>
        </w:numPr>
      </w:pPr>
      <w:r>
        <w:t xml:space="preserve">(arencibia2013agcproteinkinases pages 2-3): José M. Arencibia, Daniel Pastor-Flores, Angelika F. Bauer, Jörg O. Schulze, and Ricardo M. Biondi. Agc protein kinases: from structural mechanism of regulation to allosteric drug development for the treatment of human diseases. Biochimica et Biophysica Acta (BBA) - Proteins and Proteomics, 1834:1302-1321, Jul 2013. URL: https://doi.org/10.1016/j.bbapap.2013.03.010, doi:10.1016/j.bbapap.2013.03.010. This article has 239 citations.</w:t>
      </w:r>
    </w:p>
    <w:p>
      <w:pPr>
        <w:numPr>
          <w:ilvl w:val="0"/>
          <w:numId w:val="1001"/>
        </w:numPr>
      </w:pPr>
      <w:r>
        <w:t xml:space="preserve">(arencibia2013agcproteinkinases pages 3-4): José M. Arencibia, Daniel Pastor-Flores, Angelika F. Bauer, Jörg O. Schulze, and Ricardo M. Biondi. Agc protein kinases: from structural mechanism of regulation to allosteric drug development for the treatment of human diseases. Biochimica et Biophysica Acta (BBA) - Proteins and Proteomics, 1834:1302-1321, Jul 2013. URL: https://doi.org/10.1016/j.bbapap.2013.03.010, doi:10.1016/j.bbapap.2013.03.010. This article has 239 citations.</w:t>
      </w:r>
    </w:p>
    <w:p>
      <w:pPr>
        <w:numPr>
          <w:ilvl w:val="0"/>
          <w:numId w:val="1001"/>
        </w:numPr>
      </w:pPr>
      <w:r>
        <w:t xml:space="preserve">(garciaaranda2019targetingreceptorkinases pages 3-4): Marilina García-Aranda and Maximino Redondo. Targeting receptor kinases in colorectal cancer. Cancers, 11:433, Mar 2019. URL: https://doi.org/10.3390/cancers11040433, doi:10.3390/cancers11040433. This article has 78 citations and is from a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2025-07-02T17:26:57Z</dcterms:created>
  <dcterms:modified xsi:type="dcterms:W3CDTF">2025-07-02T17:26:57Z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