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• Ser/Thr ePK superfamily → CAMK group → CaMKI subfamily → CaMKIγ/CAMK1G isoform (unknownauthors2012evaluationofprotein pages 18-22).</w:t>
      </w:r>
      <w:r>
        <w:br/>
      </w:r>
      <w:r>
        <w:t xml:space="preserve">• Paralogous human genes within the subfamily: CAMK1 (α), PNCK/CAMK1B (β), CAMK1D (δ), CAMK1G (γ) (brzozowski2019themultifunctionalcalciumcalmodulin pages 1-4).</w:t>
      </w:r>
      <w:r>
        <w:br/>
      </w:r>
      <w:r>
        <w:t xml:space="preserve">• Representative orthologs with experimentally confirmed coding sequences</w:t>
      </w:r>
      <w:r>
        <w:br/>
      </w:r>
      <w:r>
        <w:t xml:space="preserve">– Homo sapiens (Q96NX5)</w:t>
      </w:r>
      <w:r>
        <w:br/>
      </w:r>
      <w:r>
        <w:t xml:space="preserve">– Mus musculus (Q9D8E9)</w:t>
      </w:r>
      <w:r>
        <w:br/>
      </w:r>
      <w:r>
        <w:t xml:space="preserve">– Rattus norvegicus (P56397)</w:t>
      </w:r>
      <w:r>
        <w:br/>
      </w:r>
      <w:r>
        <w:t xml:space="preserve">– Danio rerio (Q6PIZ5)</w:t>
      </w:r>
      <w:r>
        <w:br/>
      </w:r>
      <w:r>
        <w:t xml:space="preserve">– Drosophila melanogaster (Q9W298) (ohmae2006molecularidentificationand pages 4-5).</w:t>
      </w:r>
      <w:r>
        <w:br/>
      </w:r>
      <w:r>
        <w:t xml:space="preserve">• Phylogenetic trees based on the kinase domain place CaMKIγ together with the other CaMKI isoforms and clearly separate the clade from CaMKII and CaMKIV branches (ohmae2006molecularidentificationand pages 5-6).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[protein]-Ser/Thr → ADP + [protein]-O-phospho-Ser/Thr (unknownauthors2023ascreeningfor pages 133-137).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Catalytic phosphotransfer requires Mg²⁺; Mn²⁺ can substitute in standard CaMKI family assays (brzozowski2019themultifunctionalcalciumcalmodulin pages 19-21).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• Validated substrates</w:t>
      </w:r>
      <w:r>
        <w:br/>
      </w:r>
      <w:r>
        <w:t xml:space="preserve">– CREB1 transcription factor (Ser¹³³) (ohmae2006molecularidentificationand pages 1-1)</w:t>
      </w:r>
      <w:r>
        <w:br/>
      </w:r>
      <w:r>
        <w:t xml:space="preserve">– LIMK1 within the CaMKI–LIMK–cofilin pathway (unknownauthors2012evaluationofprotein pages 42-48).</w:t>
      </w:r>
      <w:r>
        <w:br/>
      </w:r>
      <w:r>
        <w:t xml:space="preserve">• A family-wide preference for basic residues N-terminal to the phospho-acceptor (Arg/Lys-X-X-Ser/Thr) is inferred from CaMKI biochemical studies; no CaMKIγ-specific motif mapping is reported in the supplied sources (unknownauthors2012evaluationofprotein pages 54-58).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• Domain organisation</w:t>
      </w:r>
      <w:r>
        <w:br/>
      </w:r>
      <w:r>
        <w:t xml:space="preserve">– Residues 1-279: catalytic kinase domain (small β-lobe + large α-lobe) containing VAIK, HRD, DFG and APE motifs (unknownauthors2012evaluationofprotein pages 54-58).</w:t>
      </w:r>
      <w:r>
        <w:br/>
      </w:r>
      <w:r>
        <w:t xml:space="preserve">– Residues 280-322: regulatory domain composed of αR1/αR2 helices that form the autoinhibitory domain (AID) overlapping the calmodulin-binding domain (CBD) (unknownauthors2012evaluationofprotein pages 36-42).</w:t>
      </w:r>
      <w:r>
        <w:br/>
      </w:r>
      <w:r>
        <w:t xml:space="preserve">– Residues 323-414: unique C-terminal extension; last four residues form a CAAX prenylation motif for membrane anchoring (unknownauthors2012evaluationofprotein pages 36-42).</w:t>
      </w:r>
    </w:p>
    <w:p>
      <w:pPr>
        <w:pStyle w:val="BodyText"/>
      </w:pPr>
      <w:r>
        <w:t xml:space="preserve">• 3-D data</w:t>
      </w:r>
      <w:r>
        <w:br/>
      </w:r>
      <w:r>
        <w:t xml:space="preserve">– Homology crystal structures: CaMKIα (PDB 1MRW) and CaMKIδ (PDB 4FG8) show the conserved bilobal fold and AID helix packing (unknownauthors2012evaluationofprotein pages 245-254).</w:t>
      </w:r>
      <w:r>
        <w:br/>
      </w:r>
      <w:r>
        <w:t xml:space="preserve">– AlphaFold full-length model AF-Q96NX5-F1 covers flexible regions including the CAAX-tail (unknownauthors2012evaluationofprotein pages 245-254).</w:t>
      </w:r>
    </w:p>
    <w:p>
      <w:pPr>
        <w:pStyle w:val="BodyText"/>
      </w:pPr>
      <w:r>
        <w:t xml:space="preserve">• Catalytic/regulatory features</w:t>
      </w:r>
      <w:r>
        <w:br/>
      </w:r>
      <w:r>
        <w:t xml:space="preserve">– Activation loop Thr¹⁷⁷ (numbering by homology to CaMKIδ) is the CaMKK phosphorylation site (takemoto‐kimura2017calmodulinkinasesessential pages 4-6).</w:t>
      </w:r>
      <w:r>
        <w:br/>
      </w:r>
      <w:r>
        <w:t xml:space="preserve">– Hydrophobic regulatory and catalytic spines align in the active conformation; αC-helix mobility modulates spine completion as observed in CaMKI family NMR studies (unknownauthors2012evaluationofprotein pages 178-187).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Phosphorylation</w:t>
      </w:r>
      <w:r>
        <w:br/>
      </w:r>
      <w:r>
        <w:t xml:space="preserve">– Thr¹⁷⁷ in the activation loop phosphorylated by CaMKK1 and CaMKK2 increases catalytic activity (takemoto‐kimura2017calmodulinkinasesessential pages 4-6).</w:t>
      </w:r>
      <w:r>
        <w:br/>
      </w:r>
      <w:r>
        <w:t xml:space="preserve">– Dephosphorylation by PP2A and PP2B lowers activity (takemoto‐kimura2017calmodulinkinasesessential pages 16-18).</w:t>
      </w:r>
    </w:p>
    <w:p>
      <w:pPr>
        <w:pStyle w:val="BodyText"/>
      </w:pPr>
      <w:r>
        <w:t xml:space="preserve">• Ca²⁺/calmodulin binding</w:t>
      </w:r>
      <w:r>
        <w:br/>
      </w:r>
      <w:r>
        <w:t xml:space="preserve">– Ca²⁺/CaM binding to the CBD displaces the AID from the catalytic cleft, relieving autoinhibition (unknownauthors2012evaluationofprotein pages 36-42).</w:t>
      </w:r>
    </w:p>
    <w:p>
      <w:pPr>
        <w:pStyle w:val="BodyText"/>
      </w:pPr>
      <w:r>
        <w:t xml:space="preserve">• Lipid modification</w:t>
      </w:r>
      <w:r>
        <w:br/>
      </w:r>
      <w:r>
        <w:t xml:space="preserve">– Prenylation of the CAAX cysteine (C-terminal four residues) is required for Golgi/plasma-membrane localisation; mutation or prenylation blockade redistributes the kinase to the cytosol (unknownauthors2012evaluationofprotein pages 36-42).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• Expression</w:t>
      </w:r>
      <w:r>
        <w:br/>
      </w:r>
      <w:r>
        <w:t xml:space="preserve">– High basal mRNA and protein levels in limbic brain regions: central amygdala, bed nucleus of the stria terminalis, ventromedial hypothalamus, hippocampus and medial frontal cortex (piechota2022glucocorticoidregulatedkinasecamkiγ pages 4-6).</w:t>
      </w:r>
      <w:r>
        <w:br/>
      </w:r>
      <w:r>
        <w:t xml:space="preserve">– Lower expression in peripheral organs; neuronal enrichment confirmed by in-situ analyses (unknownauthors2012evaluationofprotein pages 42-48).</w:t>
      </w:r>
      <w:r>
        <w:br/>
      </w:r>
      <w:r>
        <w:t xml:space="preserve">– Glucocorticoids and acute stress strongly up-regulate transcription in the central amygdala (piechota2022glucocorticoidregulatedkinasecamkiγ pages 4-6).</w:t>
      </w:r>
    </w:p>
    <w:p>
      <w:pPr>
        <w:pStyle w:val="BodyText"/>
      </w:pPr>
      <w:r>
        <w:t xml:space="preserve">• Upstream regulators</w:t>
      </w:r>
      <w:r>
        <w:br/>
      </w:r>
      <w:r>
        <w:t xml:space="preserve">– Ca²⁺/calmodulin (direct) and CaMKK1/2 (phosphorylation) (takemoto‐kimura2017calmodulinkinasesessential pages 4-6).</w:t>
      </w:r>
    </w:p>
    <w:p>
      <w:pPr>
        <w:pStyle w:val="BodyText"/>
      </w:pPr>
      <w:r>
        <w:t xml:space="preserve">• Downstream effectors</w:t>
      </w:r>
      <w:r>
        <w:br/>
      </w:r>
      <w:r>
        <w:t xml:space="preserve">– CREB1 phosphorylation links CaMKIγ to Ca²⁺-dependent gene expression (ohmae2006molecularidentificationand pages 1-1).</w:t>
      </w:r>
      <w:r>
        <w:br/>
      </w:r>
      <w:r>
        <w:t xml:space="preserve">– Activation of LIMK1 and ERK pathways drives actin polymerisation and dendrite development (unknownauthors2012evaluationofprotein pages 42-48).</w:t>
      </w:r>
    </w:p>
    <w:p>
      <w:pPr>
        <w:pStyle w:val="BodyText"/>
      </w:pPr>
      <w:r>
        <w:t xml:space="preserve">• Physiological roles</w:t>
      </w:r>
      <w:r>
        <w:br/>
      </w:r>
      <w:r>
        <w:t xml:space="preserve">– Modulates anxiety-like behaviour and conditioned fear; Camk1g-knockdown mice display increased freezing and anxiety phenotypes (piechota2022glucocorticoidregulatedkinasecamkiγ pages 4-6).</w:t>
      </w:r>
      <w:r>
        <w:br/>
      </w:r>
      <w:r>
        <w:t xml:space="preserve">– Promotes neuronal morphogenesis, including dendritic arborisation in response to activity (unknownauthors2012evaluationofprotein pages 42-48).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• Elevated CAMK1G expression correlates with poor prognosis in clear-cell renal carcinoma (brzozowski2019themultifunctionalcalciumcalmodulin pages 23-24).</w:t>
      </w:r>
      <w:r>
        <w:br/>
      </w:r>
      <w:r>
        <w:t xml:space="preserve">• CAMK1G co-expression modules are enriched in schizophrenia transcriptomic datasets (piechota2022glucocorticoidregulatedkinasecamkiγ pages 4-6).</w:t>
      </w:r>
    </w:p>
    <w:p>
      <w:pPr>
        <w:pStyle w:val="BodyText"/>
      </w:pPr>
      <w:r>
        <w:t xml:space="preserve">References</w:t>
      </w:r>
    </w:p>
    <w:p>
      <w:pPr>
        <w:numPr>
          <w:ilvl w:val="0"/>
          <w:numId w:val="1001"/>
        </w:numPr>
      </w:pPr>
      <w:r>
        <w:t xml:space="preserve">(ohmae2006molecularidentificationand pages 4-5): Shogo Ohmae, S. Takemoto-Kimura, M. Okamura, Aki Adachi-Morishima, Mio Nonaka, Toshimitsu Fuse, S. Kida, Masahiro Tanji, T. Furuyashiki, Y. Arakawa, S. Narumiya, H. Okuno, and H. Bito. Molecular identification and characterization of a family of kinases with homology to ca2+/calmodulin-dependent protein kinases i/iv*. Journal of Biological Chemistry, 281:20427-20439, Jul 2006. URL: https://doi.org/10.1074/jbc.m513212200, doi:10.1074/jbc.m513212200. This article has 64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(ohmae2006molecularidentificationand pages 5-6): Shogo Ohmae, S. Takemoto-Kimura, M. Okamura, Aki Adachi-Morishima, Mio Nonaka, Toshimitsu Fuse, S. Kida, Masahiro Tanji, T. Furuyashiki, Y. Arakawa, S. Narumiya, H. Okuno, and H. Bito. Molecular identification and characterization of a family of kinases with homology to ca2+/calmodulin-dependent protein kinases i/iv*. Journal of Biological Chemistry, 281:20427-20439, Jul 2006. URL: https://doi.org/10.1074/jbc.m513212200, doi:10.1074/jbc.m513212200. This article has 64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(piechota2022glucocorticoidregulatedkinasecamkiγ pages 4-6): Marcin Piechota, Urszula Skupio, Małgorzata Borczyk, Barbara Ziółkowska, Sławomir Gołda, Łukasz Szumiec, Klaudia Szklarczyk-Smolana, Wiktor Bilecki, Jan Manuel Rodriguez Parkitna, and Michał Korostyński. Glucocorticoid-regulated kinase camkiγ in the central amygdala controls anxiety-like behavior in mice. International Journal of Molecular Sciences, 23:12328, Oct 2022. URL: https://doi.org/10.3390/ijms232012328, doi:10.3390/ijms232012328. This article has 9 citations and is from a peer-reviewed journal.</w:t>
      </w:r>
    </w:p>
    <w:p>
      <w:pPr>
        <w:numPr>
          <w:ilvl w:val="0"/>
          <w:numId w:val="1001"/>
        </w:numPr>
      </w:pPr>
      <w:r>
        <w:t xml:space="preserve">(unknownauthors2012evaluationofprotein pages 178-187): Evaluation of protein kinases for solution NMR spectroscopy and the structural mechanism of inhibition and activation of an oncogenic calcium calmodulin dependent …</w:t>
      </w:r>
    </w:p>
    <w:p>
      <w:pPr>
        <w:numPr>
          <w:ilvl w:val="0"/>
          <w:numId w:val="1001"/>
        </w:numPr>
      </w:pPr>
      <w:r>
        <w:t xml:space="preserve">(unknownauthors2012evaluationofprotein pages 245-254): Evaluation of protein kinases for solution NMR spectroscopy and the structural mechanism of inhibition and activation of an oncogenic calcium calmodulin dependent …</w:t>
      </w:r>
    </w:p>
    <w:p>
      <w:pPr>
        <w:numPr>
          <w:ilvl w:val="0"/>
          <w:numId w:val="1001"/>
        </w:numPr>
      </w:pPr>
      <w:r>
        <w:t xml:space="preserve">(unknownauthors2012evaluationofprotein pages 36-42): Evaluation of protein kinases for solution NMR spectroscopy and the structural mechanism of inhibition and activation of an oncogenic calcium calmodulin dependent …</w:t>
      </w:r>
    </w:p>
    <w:p>
      <w:pPr>
        <w:numPr>
          <w:ilvl w:val="0"/>
          <w:numId w:val="1001"/>
        </w:numPr>
      </w:pPr>
      <w:r>
        <w:t xml:space="preserve">(unknownauthors2012evaluationofprotein pages 42-48): Evaluation of protein kinases for solution NMR spectroscopy and the structural mechanism of inhibition and activation of an oncogenic calcium calmodulin dependent …</w:t>
      </w:r>
    </w:p>
    <w:p>
      <w:pPr>
        <w:numPr>
          <w:ilvl w:val="0"/>
          <w:numId w:val="1001"/>
        </w:numPr>
      </w:pPr>
      <w:r>
        <w:t xml:space="preserve">(brzozowski2019themultifunctionalcalciumcalmodulin pages 1-4): Joshua S. Brzozowski and K. Skelding. The multi-functional calcium/calmodulin stimulated protein kinase (camk) family: emerging targets for anti-cancer therapeutic intervention. Pharmaceuticals, Jan 2019. URL: https://doi.org/10.3390/ph12010008, doi:10.3390/ph12010008. This article has 88 citations and is from a peer-reviewed journal.</w:t>
      </w:r>
    </w:p>
    <w:p>
      <w:pPr>
        <w:numPr>
          <w:ilvl w:val="0"/>
          <w:numId w:val="1001"/>
        </w:numPr>
      </w:pPr>
      <w:r>
        <w:t xml:space="preserve">(brzozowski2019themultifunctionalcalciumcalmodulin pages 19-21): Joshua S. Brzozowski and K. Skelding. The multi-functional calcium/calmodulin stimulated protein kinase (camk) family: emerging targets for anti-cancer therapeutic intervention. Pharmaceuticals, Jan 2019. URL: https://doi.org/10.3390/ph12010008, doi:10.3390/ph12010008. This article has 88 citations and is from a peer-reviewed journal.</w:t>
      </w:r>
    </w:p>
    <w:p>
      <w:pPr>
        <w:numPr>
          <w:ilvl w:val="0"/>
          <w:numId w:val="1001"/>
        </w:numPr>
      </w:pPr>
      <w:r>
        <w:t xml:space="preserve">(brzozowski2019themultifunctionalcalciumcalmodulin pages 23-24): Joshua S. Brzozowski and K. Skelding. The multi-functional calcium/calmodulin stimulated protein kinase (camk) family: emerging targets for anti-cancer therapeutic intervention. Pharmaceuticals, Jan 2019. URL: https://doi.org/10.3390/ph12010008, doi:10.3390/ph12010008. This article has 88 citations and is from a peer-reviewed journal.</w:t>
      </w:r>
    </w:p>
    <w:p>
      <w:pPr>
        <w:numPr>
          <w:ilvl w:val="0"/>
          <w:numId w:val="1001"/>
        </w:numPr>
      </w:pPr>
      <w:r>
        <w:t xml:space="preserve">(ohmae2006molecularidentificationand pages 1-1): Shogo Ohmae, S. Takemoto-Kimura, M. Okamura, Aki Adachi-Morishima, Mio Nonaka, Toshimitsu Fuse, S. Kida, Masahiro Tanji, T. Furuyashiki, Y. Arakawa, S. Narumiya, H. Okuno, and H. Bito. Molecular identification and characterization of a family of kinases with homology to ca2+/calmodulin-dependent protein kinases i/iv*. Journal of Biological Chemistry, 281:20427-20439, Jul 2006. URL: https://doi.org/10.1074/jbc.m513212200, doi:10.1074/jbc.m513212200. This article has 64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(takemoto‐kimura2017calmodulinkinasesessential pages 16-18): Sayaka Takemoto‐Kimura, Kanzo Suzuki, Shin‐ichiro Horigane, Satoshi Kamijo, Masatoshi Inoue, Masayuki Sakamoto, Hajime Fujii, and Haruhiko Bito. Calmodulin kinases: essential regulators in health and disease. Journal of Neurochemistry, 141:808-818, Apr 2017. URL: https://doi.org/10.1111/jnc.14020, doi:10.1111/jnc.14020. This article has 195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(takemoto‐kimura2017calmodulinkinasesessential pages 4-6): Sayaka Takemoto‐Kimura, Kanzo Suzuki, Shin‐ichiro Horigane, Satoshi Kamijo, Masatoshi Inoue, Masayuki Sakamoto, Hajime Fujii, and Haruhiko Bito. Calmodulin kinases: essential regulators in health and disease. Journal of Neurochemistry, 141:808-818, Apr 2017. URL: https://doi.org/10.1111/jnc.14020, doi:10.1111/jnc.14020. This article has 195 citations and is from a domain leading peer-reviewed journal.</w:t>
      </w:r>
    </w:p>
    <w:p>
      <w:pPr>
        <w:numPr>
          <w:ilvl w:val="0"/>
          <w:numId w:val="1001"/>
        </w:numPr>
      </w:pPr>
      <w:r>
        <w:t xml:space="preserve">(unknownauthors2012evaluationofprotein pages 54-58): Evaluation of protein kinases for solution NMR spectroscopy and the structural mechanism of inhibition and activation of an oncogenic calcium calmodulin dependent …</w:t>
      </w:r>
    </w:p>
    <w:p>
      <w:pPr>
        <w:numPr>
          <w:ilvl w:val="0"/>
          <w:numId w:val="1001"/>
        </w:numPr>
      </w:pPr>
      <w:r>
        <w:t xml:space="preserve">(unknownauthors2023ascreeningfor pages 133-137): A screening for novel immune-checkpoints identifies CAMK1D as a kinase responsible for immune resistance in multiple myeloma</w:t>
      </w:r>
    </w:p>
    <w:p>
      <w:pPr>
        <w:numPr>
          <w:ilvl w:val="0"/>
          <w:numId w:val="1001"/>
        </w:numPr>
      </w:pPr>
      <w:r>
        <w:t xml:space="preserve">(unknownauthors2012evaluationofprotein pages 18-22): Evaluation of protein kinases for solution NMR spectroscopy and the structural mechanism of inhibition and activation of an oncogenic calcium calmodulin dependent …</w:t>
      </w:r>
    </w:p>
    <w:bookmarkEnd w:id="1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2025-07-02T17:27:22Z</dcterms:created>
  <dcterms:modified xsi:type="dcterms:W3CDTF">2025-07-02T17:27:22Z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