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Compact"/>
        <w:numPr>
          <w:ilvl w:val="0"/>
          <w:numId w:val="1001"/>
        </w:numPr>
      </w:pPr>
      <w:r>
        <w:t xml:space="preserve">Member of the Ca²⁺/calmodulin-dependent kinase (CAMK) group and classified within the PSKH sub-family (Manning2002)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Closest human paralog is the catalytically active PSKH1, sharing ~70 % kinase-domain identity (Shrestha2020)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Orthologs reported in chimpanzee, gorilla, dog, guinea pig, whale and platypus; gene absent in mouse and rat owing to rodent-specific loss (Caenepeel2004)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Early kinase catalogues placed PSKH2 in the CMGC/CLK cluster, reflecting historical annotation discrepancies (Hanks1995)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Compact"/>
        <w:numPr>
          <w:ilvl w:val="0"/>
          <w:numId w:val="1002"/>
        </w:numPr>
      </w:pPr>
      <w:r>
        <w:t xml:space="preserve">ATP + protein-Ser/Thr → ADP + protein-O-phospho-Ser/Thr (Hanks1995)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Human PSKH2 carries an HRN catalytic-loop motif instead of HRD, removing the catalytic Asp required for phosphotransfer (Shrestha2020)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Compact"/>
        <w:numPr>
          <w:ilvl w:val="0"/>
          <w:numId w:val="1003"/>
        </w:numPr>
      </w:pPr>
      <w:r>
        <w:t xml:space="preserve">Structural motifs (β3 Lys92, αC Glu108, DFG Asp204) support a Mg²⁺-coordinated active site, but no biochemical cofactor data are available (Shrestha2020)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Compact"/>
        <w:numPr>
          <w:ilvl w:val="0"/>
          <w:numId w:val="1004"/>
        </w:numPr>
      </w:pPr>
      <w:r>
        <w:t xml:space="preserve">No experimentally defined substrate motif; PSKH2 is absent from current kinase specificity atlases (Shrestha2020)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Compact"/>
        <w:numPr>
          <w:ilvl w:val="0"/>
          <w:numId w:val="1005"/>
        </w:numPr>
      </w:pPr>
      <w:r>
        <w:t xml:space="preserve">Single polypeptide comprising an N-terminal segment (~1–70) and a bilobed kinase domain (~71–350); no auxiliary domains (Shrestha2020)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AlphaFold model AF-Q96QS6-F1 predicts an active-like fold with intact Gly-rich loop (GXGXXS), β3 Lys92–αC Glu108 ion pair, HRN catalytic loop and DFG Asp204 (Shrestha2020)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Lacks the N-terminal Golgi-targeting sequence present in PSKH1; predicted myristoylation/palmitoylation sites remain unverified (Shrestha2020)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Contains Asp316 in the C-lobe where PSKH1 has a basic residue, highlighting a conserved surface alteration (Shrestha2020)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Compact"/>
        <w:numPr>
          <w:ilvl w:val="0"/>
          <w:numId w:val="1006"/>
        </w:numPr>
      </w:pPr>
      <w:r>
        <w:t xml:space="preserve">No verified post-translational modifications have been reported (Shrestha2020)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Mass-spectrometry proximity analysis identified UNC119B as a PSKH2 interactor (Salcedo2023)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Compact"/>
        <w:numPr>
          <w:ilvl w:val="0"/>
          <w:numId w:val="1007"/>
        </w:numPr>
      </w:pPr>
      <w:r>
        <w:t xml:space="preserve">Expression detected at transcript and protein level in public omics datasets; detailed tissue distribution not yet published (Shrestha2020)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Knowledge-graph and MS data associate PSKH2 with the Reactome “Cilium Assembly” pathway via UNC119B interaction (Salcedo2023)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None reported (Shrestha2020)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Compact"/>
        <w:numPr>
          <w:ilvl w:val="0"/>
          <w:numId w:val="1008"/>
        </w:numPr>
      </w:pPr>
      <w:r>
        <w:t xml:space="preserve">Absence of the gene in rodent models limits conventional in vivo functional studies (Caenepeel2004)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2025-07-02T16:40:59Z</dcterms:created>
  <dcterms:modified xsi:type="dcterms:W3CDTF">2025-07-02T16:40:59Z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