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CMGC kinase superfamily; assigned to the transcriptional CDK subgroup that contains CDK7–CDK13 and is evolutionarily distinct from the cell-cycle CDKs (kaveh2024derivinggeneralstructure–activityselectivity pages 1-2, wood2018structuralinsightsinto pages 1-2).</w:t>
      </w:r>
      <w:r>
        <w:br/>
      </w:r>
      <w:r>
        <w:t xml:space="preserve">• Closest human paralog is CDK8; both kinases pair with cyclin C within the Mediator kinase module (wood2018structuralinsightsinto pages 18-19).</w:t>
      </w:r>
      <w:r>
        <w:br/>
      </w:r>
      <w:r>
        <w:t xml:space="preserve">• No primary source in the provided corpus enumerates non-mammalian orthologs for CDK19.</w:t>
      </w:r>
    </w:p>
    <w:bookmarkEnd w:id="9"/>
    <w:bookmarkStart w:id="10" w:name="reaction-catalyzed"/>
    <w:p>
      <w:pPr>
        <w:pStyle w:val="Heading2"/>
      </w:pPr>
      <w:r>
        <w:t xml:space="preserve">Reaction Catalyzed</w:t>
      </w:r>
    </w:p>
    <w:p>
      <w:pPr>
        <w:pStyle w:val="FirstParagraph"/>
      </w:pPr>
      <w:r>
        <w:t xml:space="preserve">ATP + protein-Ser/Thr → ADP + protein-phospho-Ser/Thr (peyressatre2015targetingcyclindependentkinases pages 6-8).</w:t>
      </w:r>
    </w:p>
    <w:bookmarkEnd w:id="10"/>
    <w:bookmarkStart w:id="11" w:name="cofactor-requirements"/>
    <w:p>
      <w:pPr>
        <w:pStyle w:val="Heading2"/>
      </w:pPr>
      <w:r>
        <w:t xml:space="preserve">Cofactor Requirements</w:t>
      </w:r>
    </w:p>
    <w:p>
      <w:pPr>
        <w:pStyle w:val="FirstParagraph"/>
      </w:pPr>
      <w:r>
        <w:t xml:space="preserve">Requires divalent Mg²⁺ for phosphotransferase activity (peyressatre2015targetingcyclindependentkinases pages 6-8).</w:t>
      </w:r>
    </w:p>
    <w:bookmarkEnd w:id="11"/>
    <w:bookmarkStart w:id="12" w:name="substrate-specificity"/>
    <w:p>
      <w:pPr>
        <w:pStyle w:val="Heading2"/>
      </w:pPr>
      <w:r>
        <w:t xml:space="preserve">Substrate Specificity</w:t>
      </w:r>
    </w:p>
    <w:p>
      <w:pPr>
        <w:pStyle w:val="FirstParagraph"/>
      </w:pPr>
      <w:r>
        <w:t xml:space="preserve">• Positional-scanning peptide arrays define a strict requirement for Pro at +1 relative to the phospho-acceptor (consensus S/T-P) (johnson2023anatlasof pages 21-23).</w:t>
      </w:r>
      <w:r>
        <w:br/>
      </w:r>
      <w:r>
        <w:t xml:space="preserve">• The extended motif S/T-P-X-K/R is tolerated, although the +3 basic residue is less critical for transcriptional CDKs (errico2010identificationofsubstrates pages 10-12).</w:t>
      </w:r>
      <w:r>
        <w:br/>
      </w:r>
      <w:r>
        <w:t xml:space="preserve">• High-confidence cellular substrates: RNA-polymerase II subunit POLR2A at Ser1616 (QSPSYSPTSP) and Ser1619 (SYSPTSPSYS); CDK19 ranks in the 89.9th and 98.4th percentiles, respectively, among 303 kinases for these sites (johnson2023anatlasof pages 21-23).</w:t>
      </w:r>
    </w:p>
    <w:bookmarkEnd w:id="12"/>
    <w:bookmarkStart w:id="13" w:name="structure"/>
    <w:p>
      <w:pPr>
        <w:pStyle w:val="Heading2"/>
      </w:pPr>
      <w:r>
        <w:t xml:space="preserve">Structure</w:t>
      </w:r>
    </w:p>
    <w:p>
      <w:pPr>
        <w:pStyle w:val="FirstParagraph"/>
      </w:pPr>
      <w:r>
        <w:t xml:space="preserve">• Possesses an N-terminal bilobal serine/threonine kinase domain with the catalytic β-sheet N-lobe, α-helical C-lobe, catalytic Lys in β3 strand, αC-helix Glu, HRD motif Asp, and DFG motif Asp coordinating Mg²⁺–ATP (wood2018structuralinsightsinto pages 2-3).</w:t>
      </w:r>
      <w:r>
        <w:br/>
      </w:r>
      <w:r>
        <w:t xml:space="preserve">• Activation loop contains a Thr homologous to CDK2 Thr160 that undergoes phosphorylation for maximal activity (wood2018structuralinsightsinto pages 2-3).</w:t>
      </w:r>
      <w:r>
        <w:br/>
      </w:r>
      <w:r>
        <w:t xml:space="preserve">• An extended C-terminal tail mediates binding to cyclin C and incorporation into the Mediator kinase module (wood2018structuralinsightsinto pages 18-19).</w:t>
      </w:r>
      <w:r>
        <w:br/>
      </w:r>
      <w:r>
        <w:t xml:space="preserve">• No experimental CDK19 crystal structure is available; structural inferences rely on homology to CDK8 and AlphaFold models referenced in review literature (pellarin2025cyclindependentproteinkinases pages 2-4).</w:t>
      </w:r>
    </w:p>
    <w:bookmarkEnd w:id="13"/>
    <w:bookmarkStart w:id="14" w:name="regulation"/>
    <w:p>
      <w:pPr>
        <w:pStyle w:val="Heading2"/>
      </w:pPr>
      <w:r>
        <w:t xml:space="preserve">Regulation</w:t>
      </w:r>
    </w:p>
    <w:p>
      <w:pPr>
        <w:pStyle w:val="FirstParagraph"/>
      </w:pPr>
      <w:r>
        <w:t xml:space="preserve">• Activation requires association with cyclin C, which re-positions the αC-helix and orders the activation loop (wood2018structuralinsightsinto pages 18-19).</w:t>
      </w:r>
      <w:r>
        <w:br/>
      </w:r>
      <w:r>
        <w:t xml:space="preserve">• CDK-activating kinase (CDK7–cyclin H–MAT1) phosphorylates the activation-loop Thr (wood2018structuralinsightsinto pages 2-3).</w:t>
      </w:r>
      <w:r>
        <w:br/>
      </w:r>
      <w:r>
        <w:t xml:space="preserve">• Inhibitory phosphorylation of residues equivalent to CDK2 Thr14/Tyr15 by Wee1/Myt1 is a conserved CDK control mechanism; specific CDK19 sites have not yet been mapped (peyressatre2015targetingcyclindependentkinases pages 6-8).</w:t>
      </w:r>
      <w:r>
        <w:br/>
      </w:r>
      <w:r>
        <w:t xml:space="preserve">• Transient docking of the CDK19–cyclin C module onto Mediator provides an additional layer of allosteric regulation (wood2018structuralinsightsinto pages 18-19).</w:t>
      </w:r>
    </w:p>
    <w:bookmarkEnd w:id="14"/>
    <w:bookmarkStart w:id="15" w:name="function"/>
    <w:p>
      <w:pPr>
        <w:pStyle w:val="Heading2"/>
      </w:pPr>
      <w:r>
        <w:t xml:space="preserve">Function</w:t>
      </w:r>
    </w:p>
    <w:p>
      <w:pPr>
        <w:pStyle w:val="FirstParagraph"/>
      </w:pPr>
      <w:r>
        <w:t xml:space="preserve">• Forms the Mediator kinase module with cyclin C to regulate RNA-polymerase II transcription (wood2018structuralinsightsinto pages 18-19).</w:t>
      </w:r>
      <w:r>
        <w:br/>
      </w:r>
      <w:r>
        <w:t xml:space="preserve">• Directly phosphorylates POLR2A CTD at Ser1616 and Ser1619, modulating transcription elongation dynamics (johnson2023anatlasof pages 21-23).</w:t>
      </w:r>
      <w:r>
        <w:br/>
      </w:r>
      <w:r>
        <w:t xml:space="preserve">• Shares substrate overlap and partial functional redundancy with CDK8 (johnson2023anatlasof pages 21-23).</w:t>
      </w:r>
      <w:r>
        <w:br/>
      </w:r>
      <w:r>
        <w:t xml:space="preserve">• Classified among transcription-regulating CDKs, separating its signaling role from the cell-cycle CDKs (kaveh2024derivinggeneralstructure–activityselectivity pages 1-2).</w:t>
      </w:r>
    </w:p>
    <w:bookmarkEnd w:id="15"/>
    <w:bookmarkStart w:id="16" w:name="inhibitors"/>
    <w:p>
      <w:pPr>
        <w:pStyle w:val="Heading2"/>
      </w:pPr>
      <w:r>
        <w:t xml:space="preserve">Inhibitors</w:t>
      </w:r>
    </w:p>
    <w:p>
      <w:pPr>
        <w:pStyle w:val="FirstParagraph"/>
      </w:pPr>
      <w:r>
        <w:t xml:space="preserve">Flavopiridol, a broad-spectrum ATP-competitive inhibitor, suppresses multiple CDKs including transcriptional family members; CDK19-selective inhibitors are not described in the cited corpus (peyressatre2015targetingcyclindependentkinases pages 6-8).</w:t>
      </w:r>
    </w:p>
    <w:bookmarkEnd w:id="16"/>
    <w:bookmarkStart w:id="17" w:name="other-comments"/>
    <w:p>
      <w:pPr>
        <w:pStyle w:val="Heading2"/>
      </w:pPr>
      <w:r>
        <w:t xml:space="preserve">Other Comments</w:t>
      </w:r>
    </w:p>
    <w:p>
      <w:pPr>
        <w:pStyle w:val="FirstParagraph"/>
      </w:pPr>
      <w:r>
        <w:t xml:space="preserve">Review literature flags CDK19 dysregulation as a cancer-relevant event, positioning the kinase as a potential therapeutic target (pellarin2025cyclindependentproteinkinases pages 2-4).</w:t>
      </w:r>
    </w:p>
    <w:p>
      <w:pPr>
        <w:pStyle w:val="BodyText"/>
      </w:pPr>
      <w:r>
        <w:t xml:space="preserve">References</w:t>
      </w:r>
    </w:p>
    <w:p>
      <w:pPr>
        <w:numPr>
          <w:ilvl w:val="0"/>
          <w:numId w:val="1001"/>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(errico2010identificationofsubstrates pages 10-12): A. Errico, K. Deshmukh, Yoshimi Tanaka, Andrei Pozniakovsky, and T. Hunt. Identification of substrates for cyclin dependent kinases. Advances in enzyme regulation, 50 1:375-99, 2010. URL: https://doi.org/10.1016/j.advenzreg.2009.12.001, doi:10.1016/j.advenzreg.2009.12.001. This article has 167 citations.</w:t>
      </w:r>
    </w:p>
    <w:p>
      <w:pPr>
        <w:numPr>
          <w:ilvl w:val="0"/>
          <w:numId w:val="1001"/>
        </w:numPr>
      </w:pPr>
      <w:r>
        <w:t xml:space="preserve">(kaveh2024derivinggeneralstructure–activityselectivity pages 1-2): S. Kaveh, A. Mani-varnosfaderani, and M. S. Neiband. Deriving general structure–activity/selectivity relationship patterns for different subfamilies of cyclin-dependent kinase inhibitors using machine learning methods. Scientific Reports, Jul 2024. URL: https://doi.org/10.1038/s41598-024-66173-z, doi:10.1038/s41598-024-66173-z. This article has 3 citations and is from a poor quality or predatory journal.</w:t>
      </w:r>
    </w:p>
    <w:p>
      <w:pPr>
        <w:numPr>
          <w:ilvl w:val="0"/>
          <w:numId w:val="1001"/>
        </w:numPr>
      </w:pPr>
      <w:r>
        <w:t xml:space="preserve">(pellarin2025cyclindependentproteinkinases pages 2-4): Ilenia Pellarin, Alessandra Dall’Acqua, Andrea Favero, I. Segatto, Valentina Rossi, Nicole Crestan, Javad Karimbayli, B. Belletti, and Gustavo Baldassarre. Cyclin-dependent protein kinases and cell cycle regulation in biology and disease. Signal Transduction and Targeted Therapy, Jan 2025. URL: https://doi.org/10.1038/s41392-024-02080-z, doi:10.1038/s41392-024-02080-z. This article has 40 citations and is from a peer-reviewed journal.</w:t>
      </w:r>
    </w:p>
    <w:p>
      <w:pPr>
        <w:numPr>
          <w:ilvl w:val="0"/>
          <w:numId w:val="1001"/>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405 citations and is from a peer-reviewed journal.</w:t>
      </w:r>
    </w:p>
    <w:p>
      <w:pPr>
        <w:numPr>
          <w:ilvl w:val="0"/>
          <w:numId w:val="1001"/>
        </w:numPr>
      </w:pPr>
      <w:r>
        <w:t xml:space="preserve">(wood2018structuralinsightsinto pages 18-19):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1"/>
        </w:numPr>
      </w:pPr>
      <w:r>
        <w:t xml:space="preserve">(wood2018structuralinsightsinto pages 1-2):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1"/>
        </w:numPr>
      </w:pPr>
      <w:r>
        <w:t xml:space="preserve">(wood2018structuralinsightsinto pages 2-3): Daniel J. Wood and Jane A. Endicott. Structural insights into the functional diversity of the cdk–cyclin family. Open Biology, Sep 2018. URL: https://doi.org/10.1098/rsob.180112, doi:10.1098/rsob.180112. This article has 267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2025-07-02T17:27:03Z</dcterms:created>
  <dcterms:modified xsi:type="dcterms:W3CDTF">2025-07-02T17:27:03Z</dcterms:modified>
</cp:coreProperties>
</file>

<file path=docProps/custom.xml><?xml version="1.0" encoding="utf-8"?>
<Properties xmlns="http://schemas.openxmlformats.org/officeDocument/2006/custom-properties" xmlns:vt="http://schemas.openxmlformats.org/officeDocument/2006/docPropsVTypes"/>
</file>