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Kinome classification of DCLK3 is contradictory across sources. According to Manning et al. 2002, DCLK3 is classified within the kinome group CMGC and the family of dual-specificity tyrosine-phosphorylation-regulated kinases (DYRKs) (ohmae2006molecularidentificationand pages 4-5). Other analyses, also referencing Manning et al. 2002, place DCLK3 in the CAMK (calcium/calmodulin-dependent protein kinase) group and the subfamily of CAMK-like kinases (unknownauthors2014astudyof pages 153-159, unknownauthors2018etudedurôle pages 59-63, venkat2023mechanisticandevolutionary pages 1-1). DCLK3 is a member of the DCLK (doublecortin-like kinase) family, which shows homology to Cam Kinases 2 and 1/4 (dijkmans2010thedoublecortingene pages 10-11). The kinase domain of DCLK3 has 56% amino acid sequence identity to DCLK1 and 53% to DCLK2 (unknownauthors2018etudedurôle pages 59-63). DCLK3 is considered an atypical member of the DCX family as its homology with DCLK1 and DCLK2 is mostly limited to the kinase domain (song2021thexlinkedintellectual pages 3-4). Orthologs of DCLK3 are found in vertebrates, deuterostomes, protostomes, and invertebrates (venkat2023mechanisticandevolutionary pages 1-1).</w:t>
      </w:r>
    </w:p>
    <w:bookmarkEnd w:id="9"/>
    <w:bookmarkStart w:id="10" w:name="reaction-catalyzed"/>
    <w:p>
      <w:pPr>
        <w:pStyle w:val="Heading2"/>
      </w:pPr>
      <w:r>
        <w:t xml:space="preserve">Reaction Catalyzed</w:t>
      </w:r>
    </w:p>
    <w:p>
      <w:pPr>
        <w:pStyle w:val="FirstParagraph"/>
      </w:pPr>
      <w:r>
        <w:t xml:space="preserve">DCLK3 is a serine/threonine kinase that catalyzes the transfer of the γ-phosphate group from ATP to serine or threonine residues on substrate proteins (dijkmans2010thedoublecortingene pages 10-11, unknownauthors2014astudyof pages 153-159, ohmae2006molecularidentificationand pages 4-5).</w:t>
      </w:r>
    </w:p>
    <w:bookmarkEnd w:id="10"/>
    <w:bookmarkStart w:id="11" w:name="cofactor-requirements"/>
    <w:p>
      <w:pPr>
        <w:pStyle w:val="Heading2"/>
      </w:pPr>
      <w:r>
        <w:t xml:space="preserve">Cofactor Requirements</w:t>
      </w:r>
    </w:p>
    <w:p>
      <w:pPr>
        <w:pStyle w:val="FirstParagraph"/>
      </w:pPr>
      <w:r>
        <w:t xml:space="preserve">The catalytic activity of DCLK3 requires divalent metal ion cofactors, typically Mg²⁺ or Mn²⁺, to coordinate with ATP and facilitate the phosphoryl-transfer reaction (ohmae2006molecularidentificationand pages 4-5, dijkmans2010thedoublecortingene pages 10-11, unknownauthors2014astudyof pages 153-159).</w:t>
      </w:r>
    </w:p>
    <w:bookmarkEnd w:id="11"/>
    <w:bookmarkStart w:id="12" w:name="substrate-specificity"/>
    <w:p>
      <w:pPr>
        <w:pStyle w:val="Heading2"/>
      </w:pPr>
      <w:r>
        <w:t xml:space="preserve">Substrate Specificity</w:t>
      </w:r>
    </w:p>
    <w:p>
      <w:pPr>
        <w:pStyle w:val="FirstParagraph"/>
      </w:pPr>
      <w:r>
        <w:t xml:space="preserve">In the atlas of substrate specificities for the human serine/threonine kinome by Johnson et al., 2023, the kinase DCLK3 is not explicitly mentioned or listed, and a consensus substrate motif for DCLK3 is not provided (johnson2023anatlasof pages 4-4). Other studies propose a substrate recognition motif for the DCLK family as Hyd-Arg-X-X-Ser</w:t>
      </w:r>
      <w:r>
        <w:rPr>
          <w:i/>
          <w:iCs/>
        </w:rPr>
        <w:t xml:space="preserve">/Thr</w:t>
      </w:r>
      <w:r>
        <w:t xml:space="preserve">-Hyd (dijkmans2010thedoublecortingene pages 10-11). DCLK family kinases phosphorylate substrates that mimic known CamK targets, including myelin basic protein, autocamtide 2, and syntide (dijkmans2010thedoublecortingene pages 10-11).</w:t>
      </w:r>
    </w:p>
    <w:bookmarkEnd w:id="12"/>
    <w:bookmarkStart w:id="13" w:name="structure"/>
    <w:p>
      <w:pPr>
        <w:pStyle w:val="Heading2"/>
      </w:pPr>
      <w:r>
        <w:t xml:space="preserve">Structure</w:t>
      </w:r>
    </w:p>
    <w:p>
      <w:pPr>
        <w:pStyle w:val="FirstParagraph"/>
      </w:pPr>
      <w:r>
        <w:t xml:space="preserve">DCLK3 is organized into two tandem N-terminal doublecortin (DCX) domains that are responsible for microtubule binding and a C-terminal serine/threonine kinase domain (dijkmans2010thedoublecortingene pages 10-11, galvan2018thestriatalkinase pages 5-9). The DCX domains are truncated and mediate limited microtubule binding compared to other DCLK family members (unknownauthors2018etudedurôle pages 59-63). AlphaFold 3D structural models reveal that the kinase domain contains key catalytic and regulatory features, including the activation loop, the C-helix involved in positioning ATP for catalysis, and a hydrophobic spine that stabilizes the active conformation of the kinase (dijkmans2010thedoublecortingene pages 10-11, galvan2018thestriatalkinase pages 5-9, unknownauthors2014astudyof pages 204-207). A conserved lysine residue (K543 in mouse DCLK3) within the kinase domain is essential for catalytic activity (galvan2018thestriatalkinase pages 9-11).</w:t>
      </w:r>
    </w:p>
    <w:bookmarkEnd w:id="13"/>
    <w:bookmarkStart w:id="14" w:name="regulation"/>
    <w:p>
      <w:pPr>
        <w:pStyle w:val="Heading2"/>
      </w:pPr>
      <w:r>
        <w:t xml:space="preserve">Regulation</w:t>
      </w:r>
    </w:p>
    <w:p>
      <w:pPr>
        <w:pStyle w:val="FirstParagraph"/>
      </w:pPr>
      <w:r>
        <w:t xml:space="preserve">DCLK3 activity is regulated by post-translational modifications. Autophosphorylation is a feature of DCLK proteins that affects their affinity for microtubules (dijkmans2010thedoublecortingene pages 10-11). Phosphorylation at Threonine 286 (T286), a conserved residue in the activation loop, is essential for kinase activation and its neuroprotective function (galvan2018thestriatalkinase pages 5-9, dijkmans2010thedoublecortingene pages 10-11). Isoform-specific numbering identifies this threonine as T457 in L-Dclk3 and T289 in S-Dclk3 (unknownauthors2014astudyof pages 161-164). The protein also undergoes proteolytic cleavage by calpain, which produces fragments that retain kinase activity (unknownauthors2014astudyof pages 204-207). Unlike DCLK1 and DCLK2, DCLK3 is not targeted for ubiquitination by the E3 ligase adaptor KLHL15 because it lacks the conserved C-terminal FRY degron motif (song2021thexlinkedintellectual pages 3-4).</w:t>
      </w:r>
    </w:p>
    <w:bookmarkEnd w:id="14"/>
    <w:bookmarkStart w:id="15" w:name="function"/>
    <w:p>
      <w:pPr>
        <w:pStyle w:val="Heading2"/>
      </w:pPr>
      <w:r>
        <w:t xml:space="preserve">Function</w:t>
      </w:r>
    </w:p>
    <w:p>
      <w:pPr>
        <w:pStyle w:val="FirstParagraph"/>
      </w:pPr>
      <w:r>
        <w:t xml:space="preserve">DCLK3 is a neuronal kinase preferentially expressed in the striatum, the dentate gyrus of the hippocampus, and pyramidal neurons in the cerebral cortex (unknownauthors2014astudyof pages 153-159, unknownauthors2025lossofthe pages 3-4). The protein localizes to both the cytoplasm and the nucleus (unknownauthors2014astudyof pages 153-159). DCLK3 interacts with the transcriptional activator adaptor TADA3, a component of the SAGA co-activator complex, linking it to histone acetylation and transcriptional regulation (unknownauthors2025lossofthe pages 20-20, galvan2018thestriatalkinase pages 15-19). It also interacts with zinc finger proteins (unknownauthors2025lossofthe pages 20-20). DCLK3 is implicated in BDNF signaling pathways and is associated with transcription factors such as CREB1 and CLOCK (unknownauthors2025lossofthe pages 20-20). Its biological roles include regulating synaptic plasticity, memory, neuronal survival, and GABAergic neurotransmission (unknownauthors2025lossofthe pages 20-20, unknownauthors2025lossofthe pages 20-21, unknownauthors2025lossofthe pages 3-4).</w:t>
      </w:r>
    </w:p>
    <w:bookmarkEnd w:id="15"/>
    <w:bookmarkStart w:id="16" w:name="inhibitors"/>
    <w:p>
      <w:pPr>
        <w:pStyle w:val="Heading2"/>
      </w:pPr>
      <w:r>
        <w:t xml:space="preserve">Inhibitors</w:t>
      </w:r>
    </w:p>
    <w:p>
      <w:pPr>
        <w:pStyle w:val="FirstParagraph"/>
      </w:pPr>
      <w:r>
        <w:t xml:space="preserve">No specific experimental or pharmacological inhibitors of DCLK3 have been reported (galvan2018thestriatalkinase pages 15-19, unknownauthors2014astudyof pages 204-207). A kinase-dead version, created by mutating the essential catalytic lysine residue at position 543 to methionine (K543M), is used as an experimental tool to abolish its function (galvan2018thestriatalkinase pages 9-11, unknownauthors2014astudyof pages 153-159).</w:t>
      </w:r>
    </w:p>
    <w:bookmarkEnd w:id="16"/>
    <w:bookmarkStart w:id="17" w:name="other-comments"/>
    <w:p>
      <w:pPr>
        <w:pStyle w:val="Heading2"/>
      </w:pPr>
      <w:r>
        <w:t xml:space="preserve">Other Comments</w:t>
      </w:r>
    </w:p>
    <w:p>
      <w:pPr>
        <w:pStyle w:val="FirstParagraph"/>
      </w:pPr>
      <w:r>
        <w:t xml:space="preserve">DCLK3 expression is significantly reduced in Huntington’s disease (HD) patients and mouse models; its overexpression provides neuroprotection against mutant huntingtin (mHtt) toxicity and improves motor function in HD models (unknownauthors2014astudyof pages 153-159, galvan2018thestriatalkinase pages 15-19). Genetic polymorphisms and lower brain expression of DCLK3 are associated with an increased risk for psychiatric disorders, including schizophrenia, bipolar disorder, obsessive-compulsive disorder, and major depression (unknownauthors2025lossofthe pages 20-21, unknownauthors2025lossofthe pages 3-4). Loss of DCLK3 in mouse models leads to anxiety-like behavior and memory deficits (unknownauthors2025lossofthe pages 20-20).</w:t>
      </w:r>
    </w:p>
    <w:p>
      <w:pPr>
        <w:pStyle w:val="BodyText"/>
      </w:pPr>
      <w:r>
        <w:t xml:space="preserve">References</w:t>
      </w:r>
    </w:p>
    <w:p>
      <w:pPr>
        <w:numPr>
          <w:ilvl w:val="0"/>
          <w:numId w:val="1001"/>
        </w:numPr>
      </w:pPr>
      <w:r>
        <w:t xml:space="preserve">(galvan2018thestriatalkinase pages 15-19): L. Galvan, Laetitia Francelle, M. Gaillard, Lucie de Longprez, M. Carrillo-de Sauvage, G. Liot, K. Cambon, L. Stimmer, Sophie Luccantoni, J. Flament, J. Valette, M. de Chaldée, G. Aurégan, M. Guillermier, Charlène Joséphine, Fanny Petit, C. Jan, M. Jarrige, N. Dufour, G. Bonvento, S. Humbert, F. Saudou, P. Hantraye, K. Merienne, A. Bemelmans, A. Perrier, N. Déglon, and E.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1"/>
        </w:numPr>
      </w:pPr>
      <w:r>
        <w:t xml:space="preserve">(ohmae2006molecularidentificationand pages 4-5): Shogo Ohmae, S. Takemoto-Kimura, M. Okamura, Aki Adachi-Morishima, Mio Nonaka, Toshimitsu Fuse, S. Kida, Masahiro Tanji, T. Furuyashiki, Y. Arakawa, S. Narumiya, H. Okuno, and H. Bito. Molecular identification and characterization of a family of kinases with homology to ca2+/calmodulin-dependent protein kinases i/iv*. Journal of Biological Chemistry, 281:20427-20439, Jul 2006. URL: https://doi.org/10.1074/jbc.m513212200, doi:10.1074/jbc.m513212200. This article has 64 citations and is from a domain leading peer-reviewed journal.</w:t>
      </w:r>
    </w:p>
    <w:p>
      <w:pPr>
        <w:numPr>
          <w:ilvl w:val="0"/>
          <w:numId w:val="1001"/>
        </w:numPr>
      </w:pPr>
      <w:r>
        <w:t xml:space="preserve">(unknownauthors2014astudyof pages 153-159): A Study of Striatal Markers as Disease Modifiers in Huntington’s Disease</w:t>
      </w:r>
    </w:p>
    <w:p>
      <w:pPr>
        <w:numPr>
          <w:ilvl w:val="0"/>
          <w:numId w:val="1001"/>
        </w:numPr>
      </w:pPr>
      <w:r>
        <w:t xml:space="preserve">(unknownauthors2025lossofthe pages 20-20): Loss of the neuronal kinase DCLK3 leads to anxiety-like behaviour and memory deficits</w:t>
      </w:r>
    </w:p>
    <w:p>
      <w:pPr>
        <w:numPr>
          <w:ilvl w:val="0"/>
          <w:numId w:val="1001"/>
        </w:numPr>
      </w:pPr>
      <w:r>
        <w:t xml:space="preserve">(unknownauthors2025lossofthe pages 20-21): Loss of the neuronal kinase DCLK3 leads to anxiety-like behaviour and memory deficits</w:t>
      </w:r>
    </w:p>
    <w:p>
      <w:pPr>
        <w:numPr>
          <w:ilvl w:val="0"/>
          <w:numId w:val="1001"/>
        </w:numPr>
      </w:pPr>
      <w:r>
        <w:t xml:space="preserve">(unknownauthors2025lossofthe pages 3-4): Loss of the neuronal kinase DCLK3 leads to anxiety-like behaviour and memory deficits</w:t>
      </w:r>
    </w:p>
    <w:p>
      <w:pPr>
        <w:numPr>
          <w:ilvl w:val="0"/>
          <w:numId w:val="1001"/>
        </w:numPr>
      </w:pPr>
      <w:r>
        <w:t xml:space="preserve">(dijkmans2010thedoublecortingene pages 10-11): T. Dijkmans, Leonarda Wilhelmina Antonia van Hooijdonk, C. Fitzsimons, and E. Vreugdenhil. The doublecortin gene family and disorders of neuronal structure. Central Nervous System Agents in Medicinal Chemistry, 10:32-46, Mar 2010. URL: https://doi.org/10.2174/187152410790780118, doi:10.2174/187152410790780118. This article has 80 citations and is from a peer-reviewed journal.</w:t>
      </w:r>
    </w:p>
    <w:p>
      <w:pPr>
        <w:numPr>
          <w:ilvl w:val="0"/>
          <w:numId w:val="1001"/>
        </w:numPr>
      </w:pPr>
      <w:r>
        <w:t xml:space="preserve">(galvan2018thestriatalkinase pages 5-9): L. Galvan, Laetitia Francelle, M. Gaillard, Lucie de Longprez, M. Carrillo-de Sauvage, G. Liot, K. Cambon, L. Stimmer, Sophie Luccantoni, J. Flament, J. Valette, M. de Chaldée, G. Aurégan, M. Guillermier, Charlène Joséphine, Fanny Petit, C. Jan, M. Jarrige, N. Dufour, G. Bonvento, S. Humbert, F. Saudou, P. Hantraye, K. Merienne, A. Bemelmans, A. Perrier, N. Déglon, and E.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1"/>
        </w:numPr>
      </w:pPr>
      <w:r>
        <w:t xml:space="preserve">(galvan2018thestriatalkinase pages 9-11): L. Galvan, Laetitia Francelle, M. Gaillard, Lucie de Longprez, M. Carrillo-de Sauvage, G. Liot, K. Cambon, L. Stimmer, Sophie Luccantoni, J. Flament, J. Valette, M. de Chaldée, G. Aurégan, M. Guillermier, Charlène Joséphine, Fanny Petit, C. Jan, M. Jarrige, N. Dufour, G. Bonvento, S. Humbert, F. Saudou, P. Hantraye, K. Merienne, A. Bemelmans, A. Perrier, N. Déglon, and E. Brouillet. The striatal kinase dclk3 produces neuroprotection against mutant huntingtin. Brain, 141:1434-1454, Mar 2018. URL: https://doi.org/10.1093/brain/awy057, doi:10.1093/brain/awy057. This article has 35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(song2021thexlinkedintellectual pages 3-4): Jianing Song, Ronald A. Merrill, Andrew Y. Usachev, and Stefan Strack. The x-linked intellectual disability gene product and e3 ubiquitin ligase klhl15 degrades doublecortin proteins to constrain neuronal dendritogenesis. BioRxiv, Oct 2021. URL: https://doi.org/10.1101/2020.10.02.324285, doi:10.1101/2020.10.02.324285. This article has 17 citations.</w:t>
      </w:r>
    </w:p>
    <w:p>
      <w:pPr>
        <w:numPr>
          <w:ilvl w:val="0"/>
          <w:numId w:val="1001"/>
        </w:numPr>
      </w:pPr>
      <w:r>
        <w:t xml:space="preserve">(unknownauthors2014astudyof pages 161-164): A Study of Striatal Markers as Disease Modifiers in Huntington’s Disease</w:t>
      </w:r>
    </w:p>
    <w:p>
      <w:pPr>
        <w:numPr>
          <w:ilvl w:val="0"/>
          <w:numId w:val="1001"/>
        </w:numPr>
      </w:pPr>
      <w:r>
        <w:t xml:space="preserve">(unknownauthors2014astudyof pages 204-207): A Study of Striatal Markers as Disease Modifiers in Huntington’s Disease</w:t>
      </w:r>
    </w:p>
    <w:p>
      <w:pPr>
        <w:numPr>
          <w:ilvl w:val="0"/>
          <w:numId w:val="1001"/>
        </w:numPr>
      </w:pPr>
      <w:r>
        <w:t xml:space="preserve">(unknownauthors2018etudedurôle pages 59-63): Etude du rôle de la protéine kinase DCLK3 dans les mécanismes de neurodégénérescence dans la maladie de Huntington</w:t>
      </w:r>
    </w:p>
    <w:p>
      <w:pPr>
        <w:numPr>
          <w:ilvl w:val="0"/>
          <w:numId w:val="1001"/>
        </w:numPr>
      </w:pPr>
      <w:r>
        <w:t xml:space="preserve">(venkat2023mechanisticandevolutionary pages 1-1): Aarya Venkat, Grace Watterson, D. Byrne, Brady O’Boyle, Safal Shrestha, Nathan Gravel, Emma E Fairweather, Leonard A. Daly, Claire Bunn, Wayland Yeung, Ishan Aggarwal, Samiksha Katiyar, C. Eyers, P. Eyers, and N. Kannan. Mechanistic and evolutionary insights into isoform-specific ‘supercharging’ in dclk family kinases. eLife, Oct 2023. URL: https://doi.org/10.7554/elife.87958, doi:10.7554/elife.87958. This article has 8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2025-07-02T17:26:55Z</dcterms:created>
  <dcterms:modified xsi:type="dcterms:W3CDTF">2025-07-02T17:26:55Z</dcterms:modified>
</cp:coreProperties>
</file>

<file path=docProps/custom.xml><?xml version="1.0" encoding="utf-8"?>
<Properties xmlns="http://schemas.openxmlformats.org/officeDocument/2006/custom-properties" xmlns:vt="http://schemas.openxmlformats.org/officeDocument/2006/docPropsVTypes"/>
</file>