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STK26 (MST4) is placed in the germinal-center kinase III (GCK-III) subgroup of the STE20 serine/threonine kinase superfamily (miller2019comprehensiveprofilingof pages 28-29).</w:t>
      </w:r>
      <w:r>
        <w:br/>
      </w:r>
      <w:r>
        <w:t xml:space="preserve">It forms a paralogous clade with MST3 (STK24) and STK25/SOK1 (miller2019comprehensiveprofilingof pages 28-29).</w:t>
      </w:r>
      <w:r>
        <w:br/>
      </w:r>
      <w:r>
        <w:t xml:space="preserve">Orthologs are reported in Mus musculus, Danio rerio and Drosophila melanogaster, demonstrating broad metazoan conservation (yin2012multiplefunctionsof pages 9-9).</w:t>
      </w:r>
      <w:r>
        <w:br/>
      </w:r>
      <w:r>
        <w:t xml:space="preserve">More distant homologues exist in filamentous fungi such as Sordaria macrospora and Neurospora crassa, retaining the activation-loop threonine (frey2015thestripakcomplex pages 105-106).</w:t>
      </w:r>
      <w:r>
        <w:br/>
      </w:r>
      <w:r>
        <w:t xml:space="preserve">Yeast kinases Orb3/Nak1 and Kic1 occupy the same evolutionary branch that governs polarized growth and cytokinesis (thompson2015mstkinasesin pages 1-3).</w:t>
      </w:r>
    </w:p>
    <w:bookmarkEnd w:id="9"/>
    <w:bookmarkStart w:id="10" w:name="reaction-catalyzed"/>
    <w:p>
      <w:pPr>
        <w:pStyle w:val="Heading2"/>
      </w:pPr>
      <w:r>
        <w:t xml:space="preserve">Reaction Catalyzed</w:t>
      </w:r>
    </w:p>
    <w:p>
      <w:pPr>
        <w:pStyle w:val="FirstParagraph"/>
      </w:pPr>
      <w:r>
        <w:t xml:space="preserve">ATP + protein-Ser/Thr ⇌ ADP + protein-phospho-Ser/Thr (record2010structuralcomparisonof pages 1-3).</w:t>
      </w:r>
    </w:p>
    <w:bookmarkEnd w:id="10"/>
    <w:bookmarkStart w:id="11" w:name="cofactor-requirements"/>
    <w:p>
      <w:pPr>
        <w:pStyle w:val="Heading2"/>
      </w:pPr>
      <w:r>
        <w:t xml:space="preserve">Cofactor Requirements</w:t>
      </w:r>
    </w:p>
    <w:p>
      <w:pPr>
        <w:pStyle w:val="FirstParagraph"/>
      </w:pPr>
      <w:r>
        <w:t xml:space="preserve">Catalytic activity depends on divalent cations; Mg²⁺ or Mn²⁺ efficiently support phosphorylation (yin2012multiplefunctionsof pages 9-9).</w:t>
      </w:r>
    </w:p>
    <w:bookmarkEnd w:id="11"/>
    <w:bookmarkStart w:id="12" w:name="substrate-specificity"/>
    <w:p>
      <w:pPr>
        <w:pStyle w:val="Heading2"/>
      </w:pPr>
      <w:r>
        <w:t xml:space="preserve">Substrate Specificity</w:t>
      </w:r>
    </w:p>
    <w:p>
      <w:pPr>
        <w:pStyle w:val="FirstParagraph"/>
      </w:pPr>
      <w:r>
        <w:t xml:space="preserve">Johnson 2023 mapped a consensus phosphorylation motif for MST4, although the precise sequence is not provided in the excerpt (yin2012multiplefunctionsof pages 9-9).</w:t>
      </w:r>
      <w:r>
        <w:br/>
      </w:r>
      <w:r>
        <w:t xml:space="preserve">Validated cellular substrates include ATG4B Ser383, ERM proteins, GM130 and MOB4, indicating tolerance for serine or threonine within varied sequence contexts (unknownauthors2023mst3andmst4 pages 22-26).</w:t>
      </w:r>
      <w:r>
        <w:br/>
      </w:r>
      <w:r>
        <w:t xml:space="preserve">TRAF6 is an additional substrate, phosphorylated on Thr463/468 during innate immune responses (getu2023themammaliansterile pages 3-4).</w:t>
      </w:r>
    </w:p>
    <w:bookmarkEnd w:id="12"/>
    <w:bookmarkStart w:id="13" w:name="structure"/>
    <w:p>
      <w:pPr>
        <w:pStyle w:val="Heading2"/>
      </w:pPr>
      <w:r>
        <w:t xml:space="preserve">Structure</w:t>
      </w:r>
    </w:p>
    <w:p>
      <w:pPr>
        <w:pStyle w:val="FirstParagraph"/>
      </w:pPr>
      <w:r>
        <w:t xml:space="preserve">The protein contains an N-terminal kinase domain (residues 1–251) featuring the ATP-binding Lys53 and the catalytic HRD motif within a canonical bilobal fold (unknownauthors2023mst3andmst4 pages 22-26).</w:t>
      </w:r>
      <w:r>
        <w:br/>
      </w:r>
      <w:r>
        <w:t xml:space="preserve">The activation loop harbours Thr190, whose phosphorylation is essential for activity (record2010structuralcomparisonof pages 1-3).</w:t>
      </w:r>
      <w:r>
        <w:br/>
      </w:r>
      <w:r>
        <w:t xml:space="preserve">A C-terminal regulatory tail binds PDCD10 (CCM3) and GM130, enabling dimerization and subcellular targeting (unknownauthors2023mst3andmst4 pages 22-26).</w:t>
      </w:r>
      <w:r>
        <w:br/>
      </w:r>
      <w:r>
        <w:t xml:space="preserve">A crystal structure of the inactive kinase domain bound to a quinazoline inhibitor (PDB 3GGF) reveals a conserved hydrophobic spine and an unphosphorylated activation loop (record2010structuralcomparisonof pages 1-3).</w:t>
      </w:r>
      <w:r>
        <w:br/>
      </w:r>
      <w:r>
        <w:t xml:space="preserve">AlphaFold modelling reproduces the overall architecture and predicts a MO25 interaction surface that shields Thr190 from phosphatases (unknownauthors2023mst3andmst4 pages 22-26).</w:t>
      </w:r>
    </w:p>
    <w:bookmarkEnd w:id="13"/>
    <w:bookmarkStart w:id="14" w:name="regulation"/>
    <w:p>
      <w:pPr>
        <w:pStyle w:val="Heading2"/>
      </w:pPr>
      <w:r>
        <w:t xml:space="preserve">Regulation</w:t>
      </w:r>
    </w:p>
    <w:p>
      <w:pPr>
        <w:pStyle w:val="FirstParagraph"/>
      </w:pPr>
      <w:r>
        <w:t xml:space="preserve">Autophosphorylation on Thr190 activates MST4 (yin2012multiplefunctionsof pages 9-9).</w:t>
      </w:r>
      <w:r>
        <w:br/>
      </w:r>
      <w:r>
        <w:t xml:space="preserve">PP2A contained within striatin-based STRIPAK complexes dephosphorylates Thr190 and suppresses kinase activity (unknownauthors2023mst3andmst4 pages 22-26).</w:t>
      </w:r>
      <w:r>
        <w:br/>
      </w:r>
      <w:r>
        <w:t xml:space="preserve">Allosteric binding of MO25/CAB39 stabilises the active conformation by protecting Thr190 from dephosphorylation (unknownauthors2023mst3andmst4 pages 22-26).</w:t>
      </w:r>
      <w:r>
        <w:br/>
      </w:r>
      <w:r>
        <w:t xml:space="preserve">GM130 anchors MST4 at the Golgi, promoting autophosphorylation, whereas CCM3 recruits the kinase into STRIPAK assemblies (frey2015thestripakcomplex pages 28-31).</w:t>
      </w:r>
      <w:r>
        <w:br/>
      </w:r>
      <w:r>
        <w:t xml:space="preserve">MST4 is resistant to caspase cleavage, distinguishing its apoptotic regulation from MST1/2 (wang2011stk24promotesmyogenic pages 28-32).</w:t>
      </w:r>
    </w:p>
    <w:bookmarkEnd w:id="14"/>
    <w:bookmarkStart w:id="15" w:name="function"/>
    <w:p>
      <w:pPr>
        <w:pStyle w:val="Heading2"/>
      </w:pPr>
      <w:r>
        <w:t xml:space="preserve">Function</w:t>
      </w:r>
    </w:p>
    <w:p>
      <w:pPr>
        <w:pStyle w:val="FirstParagraph"/>
      </w:pPr>
      <w:r>
        <w:t xml:space="preserve">RNA-seq and GTEx datasets show ubiquitous expression with highest levels in placenta, thymus and immune tissues (getu2023themammaliansterile pages 3-4).</w:t>
      </w:r>
      <w:r>
        <w:br/>
      </w:r>
      <w:r>
        <w:t xml:space="preserve">Golgi localisation is mediated by GM130, with redistribution during polarized migration (unknownauthors2023mst3andmst4 pages 22-26).</w:t>
      </w:r>
      <w:r>
        <w:br/>
      </w:r>
      <w:r>
        <w:t xml:space="preserve">Epidermal growth factor receptor stimulation enhances MST4 activity in prostate tumour cells (shi2016stripakcomplexesin pages 1-2).</w:t>
      </w:r>
      <w:r>
        <w:br/>
      </w:r>
      <w:r>
        <w:t xml:space="preserve">STK26 and STK24 jointly limit RHO-driven Golgi reorientation during directed migration (unknownauthors2023mst3andmst4 pages 22-26).</w:t>
      </w:r>
      <w:r>
        <w:br/>
      </w:r>
      <w:r>
        <w:t xml:space="preserve">Phosphorylation of ATG4B Ser383 by MST4 increases autophagic flux (unknownauthors2023mst3andmst4 pages 22-26).</w:t>
      </w:r>
      <w:r>
        <w:br/>
      </w:r>
      <w:r>
        <w:t xml:space="preserve">ERM protein phosphorylation links MST4 to actin cytoskeleton remodelling (unknownauthors2023mst3andmst4 pages 22-26).</w:t>
      </w:r>
      <w:r>
        <w:br/>
      </w:r>
      <w:r>
        <w:t xml:space="preserve">MST4 phosphorylates AMPKα1 in vitro, connecting it to energy-sensing pathways (liu2022biochemicalpurificationuncovers pages 9-9).</w:t>
      </w:r>
      <w:r>
        <w:br/>
      </w:r>
      <w:r>
        <w:t xml:space="preserve">Within STRIPAK, MST4 phosphorylates MOB4, integrating Hippo pathway signalling (unknownauthors2023mst3andmst4 pages 22-26).</w:t>
      </w:r>
    </w:p>
    <w:bookmarkEnd w:id="15"/>
    <w:bookmarkStart w:id="16" w:name="inhibitors"/>
    <w:p>
      <w:pPr>
        <w:pStyle w:val="Heading2"/>
      </w:pPr>
      <w:r>
        <w:t xml:space="preserve">Inhibitors</w:t>
      </w:r>
    </w:p>
    <w:p>
      <w:pPr>
        <w:pStyle w:val="FirstParagraph"/>
      </w:pPr>
      <w:r>
        <w:t xml:space="preserve">A quinazoline scaffold has been co-crystallised in the ATP pocket of MST4, but no selective inhibitors have been validated in cellular systems (record2010structuralcomparisonof pages 1-3).</w:t>
      </w:r>
    </w:p>
    <w:bookmarkEnd w:id="16"/>
    <w:bookmarkStart w:id="17" w:name="other-comments"/>
    <w:p>
      <w:pPr>
        <w:pStyle w:val="Heading2"/>
      </w:pPr>
      <w:r>
        <w:t xml:space="preserve">Other Comments</w:t>
      </w:r>
    </w:p>
    <w:p>
      <w:pPr>
        <w:pStyle w:val="FirstParagraph"/>
      </w:pPr>
      <w:r>
        <w:t xml:space="preserve">Over-expression of MST4 correlates with hepatocarcinogenesis and other cancers, promoting proliferation, migration and therapy resistance (getu2023themammaliansterile pages 15-18).</w:t>
      </w:r>
      <w:r>
        <w:br/>
      </w:r>
      <w:r>
        <w:t xml:space="preserve">Neratinib induces autophagic degradation of MST4, offering a potential therapeutic angle (getu2023themammaliansterile pages 15-18).</w:t>
      </w:r>
      <w:r>
        <w:br/>
      </w:r>
      <w:r>
        <w:t xml:space="preserve">Somatic STK26 mutations have been catalogued, though their functional impact remains undefined (miller2019comprehensiveprofilingof pages 28-29).</w:t>
      </w:r>
    </w:p>
    <w:p>
      <w:pPr>
        <w:pStyle w:val="BodyText"/>
      </w:pPr>
      <w:r>
        <w:t xml:space="preserve">References</w:t>
      </w:r>
    </w:p>
    <w:p>
      <w:pPr>
        <w:numPr>
          <w:ilvl w:val="0"/>
          <w:numId w:val="1001"/>
        </w:numPr>
      </w:pPr>
      <w:r>
        <w:t xml:space="preserve">(unknownauthors2023mst3andmst4 pages 22-26): MST3 and MST4: Critical Regulators of Liver Lipid Partitioning and Hepatocarcinogenesis</w:t>
      </w:r>
    </w:p>
    <w:p>
      <w:pPr>
        <w:numPr>
          <w:ilvl w:val="0"/>
          <w:numId w:val="1001"/>
        </w:numPr>
      </w:pPr>
      <w:r>
        <w:t xml:space="preserve">(yin2012multiplefunctionsof pages 9-9): Hailei Yin, Cuicui Chen, Miao Feng, Zhubing Shi, Mark I. Greene, and Zhaocai Zhou. Multiple functions of mammalian germinal center kinases. Current Chemical Biology, 6:123-133, Jun 2012. URL: https://doi.org/10.2174/187231312801254778, doi:10.2174/187231312801254778. This article has 1 citations and is from a peer-reviewed journal.</w:t>
      </w:r>
    </w:p>
    <w:p>
      <w:pPr>
        <w:numPr>
          <w:ilvl w:val="0"/>
          <w:numId w:val="1001"/>
        </w:numPr>
      </w:pPr>
      <w:r>
        <w:t xml:space="preserve">(frey2015thestripakcomplex pages 105-106): Stefan Frey. The STRIPAK complex and its role in fruiting-body development of the filamentous fungus Sordaria macrospora. PhD thesis, University Goettingen Repository, 2015. URL: https://doi.org/10.53846/goediss-5284, doi:10.53846/goediss-5284.</w:t>
      </w:r>
    </w:p>
    <w:p>
      <w:pPr>
        <w:numPr>
          <w:ilvl w:val="0"/>
          <w:numId w:val="1001"/>
        </w:numPr>
      </w:pPr>
      <w:r>
        <w:t xml:space="preserve">(frey2015thestripakcomplex pages 28-31): Stefan Frey. The STRIPAK complex and its role in fruiting-body development of the filamentous fungus Sordaria macrospora. PhD thesis, University Goettingen Repository, 2015. URL: https://doi.org/10.53846/goediss-5284, doi:10.53846/goediss-5284.</w:t>
      </w:r>
    </w:p>
    <w:p>
      <w:pPr>
        <w:numPr>
          <w:ilvl w:val="0"/>
          <w:numId w:val="1001"/>
        </w:numPr>
      </w:pPr>
      <w:r>
        <w:t xml:space="preserve">(getu2023themammaliansterile pages 3-4): Ayechew A. Getu, Ming Zhou, Shi-Yuan Cheng, and Ming Tan. The mammalian sterile 20-like kinase 4 (mst4) signaling in tumor progression: implications for therapy. Cancer Letters, 563:216183, Jun 2023. URL: https://doi.org/10.1016/j.canlet.2023.216183, doi:10.1016/j.canlet.2023.216183. This article has 7 citations and is from a peer-reviewed journal.</w:t>
      </w:r>
    </w:p>
    <w:p>
      <w:pPr>
        <w:numPr>
          <w:ilvl w:val="0"/>
          <w:numId w:val="1001"/>
        </w:numPr>
      </w:pPr>
      <w:r>
        <w:t xml:space="preserve">(liu2022biochemicalpurificationuncovers pages 9-9): Yuxiang Liu, Tao V. Wang, Yunfeng Cui, Shengxian Gao, and Yi Rao. Biochemical purification uncovers mammalian sterile 3 (mst3) as a new protein kinase for multifunctional protein kinases ampk and sik3. Journal of Biological Chemistry, 298:101929, May 2022. URL: https://doi.org/10.1016/j.jbc.2022.101929, doi:10.1016/j.jbc.2022.101929. This article has 4 citations and is from a domain leading peer-reviewed journal.</w:t>
      </w:r>
    </w:p>
    <w:p>
      <w:pPr>
        <w:numPr>
          <w:ilvl w:val="0"/>
          <w:numId w:val="1001"/>
        </w:numPr>
      </w:pPr>
      <w:r>
        <w:t xml:space="preserve">(miller2019comprehensiveprofilingof pages 28-29):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1"/>
        </w:numPr>
      </w:pPr>
      <w:r>
        <w:t xml:space="preserve">(record2010structuralcomparisonof pages 1-3): Christopher J. Record, Apirat Chaikuad, Peter Rellos, Sanjan Das, Ashley C. W. Pike, Oleg Fedorov, Brian D. Marsden, Stefan Knapp, and Wen Hwa Lee. Structural comparison of human mammalian ste20-like kinases. PLoS ONE, 5:e11905, Aug 2010. URL: https://doi.org/10.1371/journal.pone.0011905, doi:10.1371/journal.pone.0011905. This article has 68 citations and is from a peer-reviewed journal.</w:t>
      </w:r>
    </w:p>
    <w:p>
      <w:pPr>
        <w:numPr>
          <w:ilvl w:val="0"/>
          <w:numId w:val="1001"/>
        </w:numPr>
      </w:pPr>
      <w:r>
        <w:t xml:space="preserve">(shi2016stripakcomplexesin pages 1-2): Zhubing Shi, Zhubing Shi, S. Jiao, Zhaocai Zhou, and Zhaocai Zhou. Stripak complexes in cell signaling and cancer. Oncogene, 35:4549-4557, Sep 2016. URL: https://doi.org/10.1038/onc.2016.9, doi:10.1038/onc.2016.9. This article has 109 citations and is from a domain leading peer-reviewed journal.</w:t>
      </w:r>
    </w:p>
    <w:p>
      <w:pPr>
        <w:numPr>
          <w:ilvl w:val="0"/>
          <w:numId w:val="1001"/>
        </w:numPr>
      </w:pPr>
      <w:r>
        <w:t xml:space="preserve">(thompson2015mstkinasesin pages 1-3): Barry J. Thompson and Erik Sahai. Mst kinases in development and disease. Journal of Cell Biology, 210:871-882, Sep 2015. URL: https://doi.org/10.1083/jcb.201507005, doi:10.1083/jcb.201507005. This article has 172 citations and is from a highest quality peer-reviewed journal.</w:t>
      </w:r>
    </w:p>
    <w:p>
      <w:pPr>
        <w:numPr>
          <w:ilvl w:val="0"/>
          <w:numId w:val="1001"/>
        </w:numPr>
      </w:pPr>
      <w:r>
        <w:t xml:space="preserve">(wang2011stk24promotesmyogenic pages 28-32): Xi Wang. Stk24 promotes myogenic differentiation via multiple mechanisms. PhD thesis, The Hong Kong University of Science and Technology Library, 2011. URL: https://doi.org/10.14711/thesis-b1155425, doi:10.14711/thesis-b1155425.</w:t>
      </w:r>
    </w:p>
    <w:p>
      <w:pPr>
        <w:numPr>
          <w:ilvl w:val="0"/>
          <w:numId w:val="1001"/>
        </w:numPr>
      </w:pPr>
      <w:r>
        <w:t xml:space="preserve">(getu2023themammaliansterile pages 15-18): Ayechew A. Getu, Ming Zhou, Shi-Yuan Cheng, and Ming Tan. The mammalian sterile 20-like kinase 4 (mst4) signaling in tumor progression: implications for therapy. Cancer Letters, 563:216183, Jun 2023. URL: https://doi.org/10.1016/j.canlet.2023.216183, doi:10.1016/j.canlet.2023.216183. This article has 7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2025-07-02T17:26:59Z</dcterms:created>
  <dcterms:modified xsi:type="dcterms:W3CDTF">2025-07-02T17:26:59Z</dcterms:modified>
</cp:coreProperties>
</file>

<file path=docProps/custom.xml><?xml version="1.0" encoding="utf-8"?>
<Properties xmlns="http://schemas.openxmlformats.org/officeDocument/2006/custom-properties" xmlns:vt="http://schemas.openxmlformats.org/officeDocument/2006/docPropsVTypes"/>
</file>