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STK38L/NDR2 is a member of the NDR (nuclear Dbf2-related) kinase family, which is a subgroup of the AGC (protein kinase A/G/C-like) family of serine/threonine kinases (bichsel2004mechanismofactivation pages 101-105, cornils2010functionalcharacterizationof pages 151-153, hergovich2008mammalianndrprotein pages 1-2). The human NDR kinase family includes four members: NDR1 (STK38), NDR2 (STK38L), LATS1, and LATS2 (cornils2010functionalcharacterizationof pages 9-14, cornils2010functionalcharacterizationof pages 151-153). This kinase family is highly conserved from yeast to humans (bichsel2004mechanismofactivation pages 19-24, cornils2010functionalcharacterizationof pages 9-14). Orthologs include</w:t>
      </w:r>
      <w:r>
        <w:t xml:space="preserve"> </w:t>
      </w:r>
      <w:r>
        <w:rPr>
          <w:i/>
          <w:iCs/>
        </w:rPr>
        <w:t xml:space="preserve">Saccharomyces cerevisiae</w:t>
      </w:r>
      <w:r>
        <w:t xml:space="preserve"> </w:t>
      </w:r>
      <w:r>
        <w:t xml:space="preserve">Dbf2p, Dbf20p, and Cbk1p;</w:t>
      </w:r>
      <w:r>
        <w:t xml:space="preserve"> </w:t>
      </w:r>
      <w:r>
        <w:rPr>
          <w:i/>
          <w:iCs/>
        </w:rPr>
        <w:t xml:space="preserve">Schizosaccharomyces pombe</w:t>
      </w:r>
      <w:r>
        <w:t xml:space="preserve"> </w:t>
      </w:r>
      <w:r>
        <w:t xml:space="preserve">Sid2p and Orb6p;</w:t>
      </w:r>
      <w:r>
        <w:t xml:space="preserve"> </w:t>
      </w:r>
      <w:r>
        <w:rPr>
          <w:i/>
          <w:iCs/>
        </w:rPr>
        <w:t xml:space="preserve">Caenorhabditis elegans</w:t>
      </w:r>
      <w:r>
        <w:t xml:space="preserve"> </w:t>
      </w:r>
      <w:r>
        <w:t xml:space="preserve">SAX-1 and LATS; and</w:t>
      </w:r>
      <w:r>
        <w:t xml:space="preserve"> </w:t>
      </w:r>
      <w:r>
        <w:rPr>
          <w:i/>
          <w:iCs/>
        </w:rPr>
        <w:t xml:space="preserve">Drosophila melanogaster</w:t>
      </w:r>
      <w:r>
        <w:t xml:space="preserve"> </w:t>
      </w:r>
      <w:r>
        <w:t xml:space="preserve">Tricornered (Trc) and Warts/Lats (bichsel2004mechanismofactivation pages 19-24, cornils2010functionalcharacterizationof pages 9-14, cornils2010functionalcharacterizationof pages 151-153, martin2021thestk38–xpo1axis pages 2-4). Phylogenetically, NDR kinases are linked to the Ste20-like kinases, such as MST3, MST1, and MST2, which function as upstream regulators (stegert2005regulationofndr pages 1-2).</w:t>
      </w:r>
    </w:p>
    <w:bookmarkEnd w:id="9"/>
    <w:bookmarkStart w:id="10" w:name="reaction-catalyzed"/>
    <w:p>
      <w:pPr>
        <w:pStyle w:val="Heading2"/>
      </w:pPr>
      <w:r>
        <w:t xml:space="preserve">Reaction Catalyzed</w:t>
      </w:r>
    </w:p>
    <w:p>
      <w:pPr>
        <w:pStyle w:val="FirstParagraph"/>
      </w:pPr>
      <w:r>
        <w:t xml:space="preserve">The kinase catalyzes the ATP-dependent transfer of the γ-phosphate group to the hydroxyl group of a serine or threonine residue on a protein substrate (cornils2010functionalcharacterizationof pages 9-14, hergovich2008mammalianndrprotein pages 1-2, hergovich2016therolesof pages 1-3).</w:t>
      </w:r>
      <w:r>
        <w:t xml:space="preserve"> </w:t>
      </w:r>
      <w:r>
        <w:t xml:space="preserve">ATP + [a protein] → ADP + [a phosphoprotein] (hergovich2008mammalianndrprotein pages 1-2, cornils2010functionalcharacterizationof pages 9-14).</w:t>
      </w:r>
    </w:p>
    <w:bookmarkEnd w:id="10"/>
    <w:bookmarkStart w:id="11" w:name="cofactor-requirements"/>
    <w:p>
      <w:pPr>
        <w:pStyle w:val="Heading2"/>
      </w:pPr>
      <w:r>
        <w:t xml:space="preserve">Cofactor Requirements</w:t>
      </w:r>
    </w:p>
    <w:p>
      <w:pPr>
        <w:pStyle w:val="FirstParagraph"/>
      </w:pPr>
      <w:r>
        <w:t xml:space="preserve">The catalytic activity of the kinase requires Mg²⁺ as a cofactor to facilitate ATP binding and the phosphoryl transfer reaction (bichsel2004mechanismofactivation pages 101-105, hergovich2008mammalianndrprotein pages 1-2, stegert2005regulationofndr pages 2-3). In vitro kinase assays use 10 mM MgCl₂ (stegert2005functionalcharacterisationof pages 78-83, stegert2005regulationofndr pages 2-3).</w:t>
      </w:r>
    </w:p>
    <w:bookmarkEnd w:id="11"/>
    <w:bookmarkStart w:id="12" w:name="substrate-specificity"/>
    <w:p>
      <w:pPr>
        <w:pStyle w:val="Heading2"/>
      </w:pPr>
      <w:r>
        <w:t xml:space="preserve">Substrate Specificity</w:t>
      </w:r>
    </w:p>
    <w:p>
      <w:pPr>
        <w:pStyle w:val="FirstParagraph"/>
      </w:pPr>
      <w:r>
        <w:t xml:space="preserve">The comprehensive atlas of substrate specificities by Johnson et al. (2023) provides experimentally determined consensus motifs for human serine/threonine kinases, including STK38L (UniProt Q9Y2H1) (johnson2023anatlasof pages 1-2). The provided context contains contradictory definitions of the optimal motif from this source. One excerpt reports the motif as H-X-R-R-X-S/T, indicating a preference for histidine (H) at position -5 and arginines (R) at positions -3 and -2 (johnson2023anatlasof pages 6-7). A second excerpt reports the motif as H-R-x-x-S/T, with histidine at -5 and arginine at -4 (johnson2023anatlasof pages 12-18). A third excerpt summarizes the motif as [R/K]-X-[pS/pT]-[L/V], reflecting a preference for a basic residue at -2 and a hydrophobic residue at +2 (johnson2023anatlasof pages 3-4). Generally, STK38L prefers basophilic motifs with basic residues N-terminal to the phosphorylation site (johnson2023anatlasof pages 2-3, johnson2023anatlasof pages 12-18). Separately, a consensus sequence of HXRXXpS/T has also been proposed for NDR1/2 kinases (hergovich2016therolesof pages 3-5). In vitro assays use the synthetic peptide KKRNRRLSVA as a substrate, which is consistent with a preference for arginine-rich sequences (stegert2005functionalcharacterisationof pages 78-83, kohler2012functionalcharacterizationof pages 74-78).</w:t>
      </w:r>
    </w:p>
    <w:bookmarkEnd w:id="12"/>
    <w:bookmarkStart w:id="13" w:name="structure"/>
    <w:p>
      <w:pPr>
        <w:pStyle w:val="Heading2"/>
      </w:pPr>
      <w:r>
        <w:t xml:space="preserve">Structure</w:t>
      </w:r>
    </w:p>
    <w:p>
      <w:pPr>
        <w:pStyle w:val="FirstParagraph"/>
      </w:pPr>
      <w:r>
        <w:t xml:space="preserve">STK38L/NDR2 has a conserved primary structure composed of three main domains (martin2020thehippokinase pages 7-9):</w:t>
      </w:r>
      <w:r>
        <w:t xml:space="preserve"> </w:t>
      </w:r>
      <w:r>
        <w:t xml:space="preserve">- An N-terminal regulatory (NTR) domain contains basic and hydrophobic residues that mediate binding to regulatory proteins, including MOB family proteins and S100B (cornils2010functionalcharacterizationof pages 14-18, cornils2010functionalcharacterizationof pages 9-14).</w:t>
      </w:r>
      <w:r>
        <w:t xml:space="preserve"> </w:t>
      </w:r>
      <w:r>
        <w:t xml:space="preserve">- A central catalytic kinase domain is organized into 12 subdomains with conserved residues essential for ATP binding, metal binding, and catalysis (cornils2010functionalcharacterizationof pages 9-14).</w:t>
      </w:r>
      <w:r>
        <w:t xml:space="preserve"> </w:t>
      </w:r>
      <w:r>
        <w:t xml:space="preserve">- A C-terminal hydrophobic motif (HM) contains a key regulatory phosphorylation site, Thr442 (cornils2010functionalcharacterizationof pages 14-18, martin2020thehippokinase pages 7-9).</w:t>
      </w:r>
    </w:p>
    <w:p>
      <w:pPr>
        <w:pStyle w:val="BodyText"/>
      </w:pPr>
      <w:r>
        <w:t xml:space="preserve">A unique structural feature is a 30-60 amino acid insertion between kinase subdomains VII and VIII, located just before the activation loop (bichsel2004mechanismofactivation pages 19-24, cornils2010functionalcharacterizationof pages 9-14). This insert contains an auto-inhibitory sequence (AIS), which is rich in basic amino acids and negatively regulates kinase activity (cornils2010functionalcharacterizationof pages 14-18, hergovich2008mammalianndrprotein pages 1-2). AlphaFold models depict these conserved domain arrangements (cornils2010functionalcharacterizationof pages 14-18, martin2020thehippokinase pages 7-9). X-ray crystallography of the related human STK38 kinase reveals an elongated activation segment that blocks substrate binding in the inactive conformation and an αC helix that functions as an auto-inhibitory element (martin2021thestk38–xpo1axis pages 2-4).</w:t>
      </w:r>
    </w:p>
    <w:bookmarkEnd w:id="13"/>
    <w:bookmarkStart w:id="14" w:name="regulation"/>
    <w:p>
      <w:pPr>
        <w:pStyle w:val="Heading2"/>
      </w:pPr>
      <w:r>
        <w:t xml:space="preserve">Regulation</w:t>
      </w:r>
    </w:p>
    <w:p>
      <w:pPr>
        <w:pStyle w:val="FirstParagraph"/>
      </w:pPr>
      <w:r>
        <w:t xml:space="preserve">STK38L/NDR2 activation is a multi-step process involving phosphorylation and protein-protein interactions (stegert2005regulationofndr pages 1-2).</w:t>
      </w:r>
    </w:p>
    <w:p>
      <w:pPr>
        <w:pStyle w:val="BodyText"/>
      </w:pPr>
      <w:r>
        <w:rPr>
          <w:b/>
          <w:bCs/>
        </w:rPr>
        <w:t xml:space="preserve">Phosphorylation</w:t>
      </w:r>
      <w:r>
        <w:t xml:space="preserve"> </w:t>
      </w:r>
      <w:r>
        <w:t xml:space="preserve">Full activation requires phosphorylation at conserved residues:</w:t>
      </w:r>
      <w:r>
        <w:t xml:space="preserve"> </w:t>
      </w:r>
      <w:r>
        <w:t xml:space="preserve">-</w:t>
      </w:r>
      <w:r>
        <w:t xml:space="preserve"> </w:t>
      </w:r>
      <w:r>
        <w:rPr>
          <w:b/>
          <w:bCs/>
        </w:rPr>
        <w:t xml:space="preserve">Ser282</w:t>
      </w:r>
      <w:r>
        <w:t xml:space="preserve">: Located in the activation loop, this site is phosphorylated primarily via autophosphorylation and is essential for kinase activity (cornils2010functionalcharacterizationof pages 14-18, cornils2010functionalcharacterizationof pages 151-153, hergovich2008mammalianndrprotein pages 1-2).</w:t>
      </w:r>
      <w:r>
        <w:t xml:space="preserve"> </w:t>
      </w:r>
      <w:r>
        <w:t xml:space="preserve">-</w:t>
      </w:r>
      <w:r>
        <w:t xml:space="preserve"> </w:t>
      </w:r>
      <w:r>
        <w:rPr>
          <w:b/>
          <w:bCs/>
        </w:rPr>
        <w:t xml:space="preserve">Thr442</w:t>
      </w:r>
      <w:r>
        <w:t xml:space="preserve">: Located in the C-terminal hydrophobic motif, this site is phosphorylated by upstream kinases of the Ste20-like MST family (MST1, MST2, MST3) (cornils2010functionalcharacterizationof pages 14-18, stegert2005regulationofndr pages 1-2). Phosphorylation by MST3 increases NDR2 kinase activity approximately 10-fold (stegert2005functionalcharacterisationof pages 67-73, stegert2005functionalcharacterisationof pages 93-98).</w:t>
      </w:r>
      <w:r>
        <w:t xml:space="preserve"> </w:t>
      </w:r>
      <w:r>
        <w:t xml:space="preserve">-</w:t>
      </w:r>
      <w:r>
        <w:t xml:space="preserve"> </w:t>
      </w:r>
      <w:r>
        <w:rPr>
          <w:b/>
          <w:bCs/>
        </w:rPr>
        <w:t xml:space="preserve">Thr74/Thr75</w:t>
      </w:r>
      <w:r>
        <w:t xml:space="preserve">: Located in the NTR domain, phosphorylation at this site is required for full kinase activity and may modulate protein interactions (martin2020thehippokinase pages 7-9, martin2021thestk38–xpo1axis pages 2-4, stegert2005functionalcharacterisationof pages 63-67).</w:t>
      </w:r>
    </w:p>
    <w:p>
      <w:pPr>
        <w:pStyle w:val="BodyText"/>
      </w:pPr>
      <w:r>
        <w:rPr>
          <w:b/>
          <w:bCs/>
        </w:rPr>
        <w:t xml:space="preserve">Dephosphorylation</w:t>
      </w:r>
      <w:r>
        <w:t xml:space="preserve"> </w:t>
      </w:r>
      <w:r>
        <w:t xml:space="preserve">The protein phosphatase PP2A dephosphorylates and inactivates STK38/STK38L (martin2020thehippokinase pages 7-9, martin2021thestk38–xpo1axis pages 2-4).</w:t>
      </w:r>
    </w:p>
    <w:p>
      <w:pPr>
        <w:pStyle w:val="BodyText"/>
      </w:pPr>
      <w:r>
        <w:rPr>
          <w:b/>
          <w:bCs/>
        </w:rPr>
        <w:t xml:space="preserve">Regulatory Proteins</w:t>
      </w:r>
      <w:r>
        <w:t xml:space="preserve"> </w:t>
      </w:r>
      <w:r>
        <w:t xml:space="preserve">-</w:t>
      </w:r>
      <w:r>
        <w:t xml:space="preserve"> </w:t>
      </w:r>
      <w:r>
        <w:rPr>
          <w:b/>
          <w:bCs/>
        </w:rPr>
        <w:t xml:space="preserve">MOB Proteins</w:t>
      </w:r>
      <w:r>
        <w:t xml:space="preserve">: MOB family proteins act as co-activators. MOB1A/B bind to the NTR domain, which relieves AIS-mediated auto-inhibition and facilitates autophosphorylation at Ser282 (cornils2010functionalcharacterizationof pages 151-153, hergovich2008mammalianndrprotein pages 1-2, martin2020thehippokinase pages 7-9). In contrast, MOB2 binds to unphosphorylated NDR1/2 and acts as a negative regulator (kohler2012functionalcharacterizationof pages 7-12, martin2021thestk38–xpo1axis pages 4-6).</w:t>
      </w:r>
      <w:r>
        <w:t xml:space="preserve"> </w:t>
      </w:r>
      <w:r>
        <w:t xml:space="preserve">-</w:t>
      </w:r>
      <w:r>
        <w:t xml:space="preserve"> </w:t>
      </w:r>
      <w:r>
        <w:rPr>
          <w:b/>
          <w:bCs/>
        </w:rPr>
        <w:t xml:space="preserve">S100B</w:t>
      </w:r>
      <w:r>
        <w:t xml:space="preserve">: The calcium-binding protein S100B binds to the NTR domain and can activate NDR kinases in vitro; its in vivo role may involve maintaining the proper kinase conformation (bichsel2004mechanismofactivation pages 101-105).</w:t>
      </w:r>
    </w:p>
    <w:p>
      <w:pPr>
        <w:pStyle w:val="BodyText"/>
      </w:pPr>
      <w:r>
        <w:rPr>
          <w:b/>
          <w:bCs/>
        </w:rPr>
        <w:t xml:space="preserve">Other Modifications</w:t>
      </w:r>
      <w:r>
        <w:t xml:space="preserve"> </w:t>
      </w:r>
      <w:r>
        <w:t xml:space="preserve">NDR1/2 kinases can be regulated by ISGylation, ubiquitination, and acetylation, though the functional consequences of these modifications are not fully characterized (hergovich2016therolesof pages 1-3).</w:t>
      </w:r>
    </w:p>
    <w:bookmarkEnd w:id="14"/>
    <w:bookmarkStart w:id="15" w:name="function"/>
    <w:p>
      <w:pPr>
        <w:pStyle w:val="Heading2"/>
      </w:pPr>
      <w:r>
        <w:t xml:space="preserve">Function</w:t>
      </w:r>
    </w:p>
    <w:p>
      <w:pPr>
        <w:pStyle w:val="FirstParagraph"/>
      </w:pPr>
      <w:r>
        <w:t xml:space="preserve">STK38L/NDR2 is involved in the regulation of cell cycle progression, cell morphology, cell spreading, neurite outgrowth, centrosome duplication, and mitotic chromosome alignment (bichsel2004mechanismofactivation pages 101-105, stegert2005functionalcharacterisationof pages 67-73, hergovich2013regulationandfunctions pages 12-12). It is predominantly localized to cytoplasmic structures (stegert2005functionalcharacterisationof pages 63-67). Expression is high in proliferative tissues with rapid turnover, such as the stomach and intestines (stegert2005functionalcharacterisationof pages 63-67).</w:t>
      </w:r>
    </w:p>
    <w:p>
      <w:pPr>
        <w:pStyle w:val="BodyText"/>
      </w:pPr>
      <w:r>
        <w:rPr>
          <w:b/>
          <w:bCs/>
        </w:rPr>
        <w:t xml:space="preserve">Signaling</w:t>
      </w:r>
      <w:r>
        <w:t xml:space="preserve"> </w:t>
      </w:r>
      <w:r>
        <w:t xml:space="preserve">-</w:t>
      </w:r>
      <w:r>
        <w:t xml:space="preserve"> </w:t>
      </w:r>
      <w:r>
        <w:rPr>
          <w:b/>
          <w:bCs/>
        </w:rPr>
        <w:t xml:space="preserve">Upstream regulators</w:t>
      </w:r>
      <w:r>
        <w:t xml:space="preserve">: The kinase is activated by upstream kinases from the Ste20-like MST family (MST1, MST2, MST3, MST4, MST5) and the MAP4K family (cornils2010functionalcharacterizationof pages 14-18, martin2020thehippokinase pages 7-9, stegert2005regulationofndr pages 1-2).</w:t>
      </w:r>
      <w:r>
        <w:t xml:space="preserve"> </w:t>
      </w:r>
      <w:r>
        <w:t xml:space="preserve">-</w:t>
      </w:r>
      <w:r>
        <w:t xml:space="preserve"> </w:t>
      </w:r>
      <w:r>
        <w:rPr>
          <w:b/>
          <w:bCs/>
        </w:rPr>
        <w:t xml:space="preserve">Downstream substrates</w:t>
      </w:r>
      <w:r>
        <w:t xml:space="preserve">: Known substrates include the transcriptional co-activator YAP (phosphorylated at Ser127, leading to its cytoplasmic retention), TAZ, Rabin8, HP1α, and the nuclear export receptor XPO1 (hergovich2016therolesof pages 5-7, martin2021thestk38–xpo1axis pages 1-2).</w:t>
      </w:r>
      <w:r>
        <w:t xml:space="preserve"> </w:t>
      </w:r>
      <w:r>
        <w:t xml:space="preserve">-</w:t>
      </w:r>
      <w:r>
        <w:t xml:space="preserve"> </w:t>
      </w:r>
      <w:r>
        <w:rPr>
          <w:b/>
          <w:bCs/>
        </w:rPr>
        <w:t xml:space="preserve">Signaling pathways</w:t>
      </w:r>
      <w:r>
        <w:t xml:space="preserve">: STK38L/NDR2 is a component of the Hippo signaling pathway, where it acts downstream of MST kinases and MOB1 to inhibit the activity of the oncoproteins YAP and TAZ (bichsel2004mechanismofactivation pages 101-105, hergovich2016therolesof pages 5-7).</w:t>
      </w:r>
    </w:p>
    <w:bookmarkEnd w:id="15"/>
    <w:bookmarkStart w:id="16" w:name="inhibitors"/>
    <w:p>
      <w:pPr>
        <w:pStyle w:val="Heading2"/>
      </w:pPr>
      <w:r>
        <w:t xml:space="preserve">Inhibitors</w:t>
      </w:r>
    </w:p>
    <w:p>
      <w:pPr>
        <w:pStyle w:val="FirstParagraph"/>
      </w:pPr>
      <w:r>
        <w:t xml:space="preserve">No direct small-molecule inhibitors of STK38L/NDR2 are described in the provided context (bichsel2004mechanismofactivation pages 101-105, hergovich2016therolesof pages 5-7, stegert2005functionalcharacterisationof pages 63-67). However, selective inhibitors of nuclear export (SINEs), such as Selinexor, target the STK38L substrate XPO1 (martin2020thehippokinase pages 7-9).</w:t>
      </w:r>
    </w:p>
    <w:bookmarkEnd w:id="16"/>
    <w:bookmarkStart w:id="17" w:name="other-comments"/>
    <w:p>
      <w:pPr>
        <w:pStyle w:val="Heading2"/>
      </w:pPr>
      <w:r>
        <w:t xml:space="preserve">Other Comments</w:t>
      </w:r>
    </w:p>
    <w:p>
      <w:pPr>
        <w:pStyle w:val="FirstParagraph"/>
      </w:pPr>
      <w:r>
        <w:t xml:space="preserve">Dysregulation of STK38L/NDR2 is associated with several diseases. The STK38L gene is located at 12p11, a chromosomal region corresponding to known cancer amplicons (bichsel2004mechanismofactivation pages 101-105). Upregulation of NDR2 mRNA has been observed in aggressive forms of breast cancer, certain melanoma cell lines, and metastatic non-small cell lung cancer cell lines (bichsel2004mechanismofactivation pages 101-105, stegert2005functionalcharacterisationof pages 63-67). In mouse models, loss of intestinal Ndr1/2 results in tissue hyperplasia and increased tumor incidence following carcinogen exposure (hergovich2016therolesof pages 5-7). An exonic SINE insertion in the STK38L gene causes canine early retinal degeneration (hergovich2013regulationandfunctions pages 12-12).</w:t>
      </w:r>
    </w:p>
    <w:p>
      <w:pPr>
        <w:pStyle w:val="BodyText"/>
      </w:pPr>
      <w:r>
        <w:t xml:space="preserve">References</w:t>
      </w:r>
    </w:p>
    <w:p>
      <w:pPr>
        <w:numPr>
          <w:ilvl w:val="0"/>
          <w:numId w:val="1001"/>
        </w:numPr>
      </w:pPr>
      <w:r>
        <w:t xml:space="preserve">(bichsel2004mechanismofactivation pages 101-105): Samuel J. Bichsel, Rastislav Tamaskovic, Mario R. Stegert, and Brian A. Hemmings. Mechanism of activation of ndr (nuclear dbf2-related) protein kinase by the hmob1 protein*. Journal of Biological Chemistry, 279:35228-35235, Aug 2004. URL: https://doi.org/10.1074/jbc.m404542200, doi:10.1074/jbc.m404542200. This article has 175 citations and is from a domain leading peer-reviewed journal.</w:t>
      </w:r>
    </w:p>
    <w:p>
      <w:pPr>
        <w:numPr>
          <w:ilvl w:val="0"/>
          <w:numId w:val="1001"/>
        </w:numPr>
      </w:pPr>
      <w:r>
        <w:t xml:space="preserve">(cornils2010functionalcharacterizationof pages 14-18): Functional characterization of mammalian NDR kinase deficiency : novel functions and insights into downstream signaling mechanisms</w:t>
      </w:r>
    </w:p>
    <w:p>
      <w:pPr>
        <w:numPr>
          <w:ilvl w:val="0"/>
          <w:numId w:val="1001"/>
        </w:numPr>
      </w:pPr>
      <w:r>
        <w:t xml:space="preserve">(cornils2010functionalcharacterizationof pages 151-153): Functional characterization of mammalian NDR kinase deficiency : novel functions and insights into downstream signaling mechanisms</w:t>
      </w:r>
    </w:p>
    <w:p>
      <w:pPr>
        <w:numPr>
          <w:ilvl w:val="0"/>
          <w:numId w:val="1001"/>
        </w:numPr>
      </w:pPr>
      <w:r>
        <w:t xml:space="preserve">(cornils2010functionalcharacterizationof pages 9-14): Functional characterization of mammalian NDR kinase deficiency : novel functions and insights into downstream signaling mechanisms</w:t>
      </w:r>
    </w:p>
    <w:p>
      <w:pPr>
        <w:numPr>
          <w:ilvl w:val="0"/>
          <w:numId w:val="1001"/>
        </w:numPr>
      </w:pPr>
      <w:r>
        <w:t xml:space="preserve">(hergovich2008mammalianndrprotein pages 1-2): Alexander Hergovich, Hauke Cornils, and Brian A. Hemmings. Mammalian ndr protein kinases: from regulation to a role in centrosome duplication. Biochimica et Biophysica Acta (BBA) - Proteins and Proteomics, 1784:3-15, Jan 2008. URL: https://doi.org/10.1016/j.bbapap.2007.07.017, doi:10.1016/j.bbapap.2007.07.017. This article has 81 citations.</w:t>
      </w:r>
    </w:p>
    <w:p>
      <w:pPr>
        <w:numPr>
          <w:ilvl w:val="0"/>
          <w:numId w:val="1001"/>
        </w:numPr>
      </w:pPr>
      <w:r>
        <w:t xml:space="preserve">(hergovich2016therolesof pages 5-7): Alexander Hergovich. The roles of ndr protein kinases in hippo signalling. Genes, 7:21, May 2016. URL: https://doi.org/10.3390/genes7050021, doi:10.3390/genes7050021. This article has 109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(kohler2012functionalcharacterizationof pages 7-12): R. Kohler. Functional characterization of human ndr kinases : novel regulatory mechanisms and a path towards direct substrates. Unknown journal, 2012. URL: https://doi.org/10.5451/unibas-005936940, doi:10.5451/unibas-005936940. This article has 0 citations.</w:t>
      </w:r>
    </w:p>
    <w:p>
      <w:pPr>
        <w:numPr>
          <w:ilvl w:val="0"/>
          <w:numId w:val="1001"/>
        </w:numPr>
      </w:pPr>
      <w:r>
        <w:t xml:space="preserve">(martin2020thehippokinase pages 7-9): Alexandre PJ Martin and Jacques H Camonis. The hippo kinase stk38 ensures functionality of xpo1. Cell Cycle, 19:2982-2995, Oct 2020. URL: https://doi.org/10.1080/15384101.2020.1826619, doi:10.1080/15384101.2020.1826619. This article has 4 citations and is from a peer-reviewed journal.</w:t>
      </w:r>
    </w:p>
    <w:p>
      <w:pPr>
        <w:numPr>
          <w:ilvl w:val="0"/>
          <w:numId w:val="1001"/>
        </w:numPr>
      </w:pPr>
      <w:r>
        <w:t xml:space="preserve">(martin2021thestk38–xpo1axis pages 2-4):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1"/>
        </w:numPr>
      </w:pPr>
      <w:r>
        <w:t xml:space="preserve">(stegert2005functionalcharacterisationof pages 63-67): M. Stegert. Functional characterisation of the mammalian ndr1 and ndr2 protein kinases and their regulation by the mammalian ste20-like kinase mst3. Unknown journal, 2005. URL: https://doi.org/10.5451/unibas-003751692, doi:10.5451/unibas-003751692. This article has 1 citations.</w:t>
      </w:r>
    </w:p>
    <w:p>
      <w:pPr>
        <w:numPr>
          <w:ilvl w:val="0"/>
          <w:numId w:val="1001"/>
        </w:numPr>
      </w:pPr>
      <w:r>
        <w:t xml:space="preserve">(stegert2005functionalcharacterisationof pages 67-73): M. Stegert. Functional characterisation of the mammalian ndr1 and ndr2 protein kinases and their regulation by the mammalian ste20-like kinase mst3. Unknown journal, 2005. URL: https://doi.org/10.5451/unibas-003751692, doi:10.5451/unibas-003751692. This article has 1 citations.</w:t>
      </w:r>
    </w:p>
    <w:p>
      <w:pPr>
        <w:numPr>
          <w:ilvl w:val="0"/>
          <w:numId w:val="1001"/>
        </w:numPr>
      </w:pPr>
      <w:r>
        <w:t xml:space="preserve">(stegert2005functionalcharacterisationof pages 78-83): M. Stegert. Functional characterisation of the mammalian ndr1 and ndr2 protein kinases and their regulation by the mammalian ste20-like kinase mst3. Unknown journal, 2005. URL: https://doi.org/10.5451/unibas-003751692, doi:10.5451/unibas-003751692. This article has 1 citations.</w:t>
      </w:r>
    </w:p>
    <w:p>
      <w:pPr>
        <w:numPr>
          <w:ilvl w:val="0"/>
          <w:numId w:val="1001"/>
        </w:numPr>
      </w:pPr>
      <w:r>
        <w:t xml:space="preserve">(stegert2005functionalcharacterisationof pages 93-98): M. Stegert. Functional characterisation of the mammalian ndr1 and ndr2 protein kinases and their regulation by the mammalian ste20-like kinase mst3. Unknown journal, 2005. URL: https://doi.org/10.5451/unibas-003751692, doi:10.5451/unibas-003751692. This article has 1 citations.</w:t>
      </w:r>
    </w:p>
    <w:p>
      <w:pPr>
        <w:numPr>
          <w:ilvl w:val="0"/>
          <w:numId w:val="1001"/>
        </w:numPr>
      </w:pPr>
      <w:r>
        <w:t xml:space="preserve">(stegert2005regulationofndr pages 1-2): Mario R. Stegert, Alexander Hergovich, Rastislav Tamaskovic, Samuel J. Bichsel, and Brian A. Hemmings. Regulation of ndr protein kinase by hydrophobic motif phosphorylation mediated by the mammalian ste20-like kinase mst3. Molecular and Cellular Biology, 25:11019-11029, Dec 2005. URL: https://doi.org/10.1128/mcb.25.24.11019-11029.2005, doi:10.1128/mcb.25.24.11019-11029.2005. This article has 171 citations and is from a domain leading peer-reviewed journal.</w:t>
      </w:r>
    </w:p>
    <w:p>
      <w:pPr>
        <w:numPr>
          <w:ilvl w:val="0"/>
          <w:numId w:val="1001"/>
        </w:numPr>
      </w:pPr>
      <w:r>
        <w:t xml:space="preserve">(bichsel2004mechanismofactivation pages 19-24): Samuel J. Bichsel, Rastislav Tamaskovic, Mario R. Stegert, and Brian A. Hemmings. Mechanism of activation of ndr (nuclear dbf2-related) protein kinase by the hmob1 protein*. Journal of Biological Chemistry, 279:35228-35235, Aug 2004. URL: https://doi.org/10.1074/jbc.m404542200, doi:10.1074/jbc.m404542200. This article has 175 citations and is from a domain leading peer-reviewed journal.</w:t>
      </w:r>
    </w:p>
    <w:p>
      <w:pPr>
        <w:numPr>
          <w:ilvl w:val="0"/>
          <w:numId w:val="1001"/>
        </w:numPr>
      </w:pPr>
      <w:r>
        <w:t xml:space="preserve">(hergovich2013regulationandfunctions pages 12-12): Alexander Hergovich. Regulation and functions of mammalian lats/ndr kinases: looking beyond canonical hippo signalling. Cell &amp; Bioscience, Aug 2013. URL: https://doi.org/10.1186/2045-3701-3-32, doi:10.1186/2045-3701-3-32. This article has 124 citations.</w:t>
      </w:r>
    </w:p>
    <w:p>
      <w:pPr>
        <w:numPr>
          <w:ilvl w:val="0"/>
          <w:numId w:val="1001"/>
        </w:numPr>
      </w:pPr>
      <w:r>
        <w:t xml:space="preserve">(hergovich2016therolesof pages 1-3): Alexander Hergovich. The roles of ndr protein kinases in hippo signalling. Genes, 7:21, May 2016. URL: https://doi.org/10.3390/genes7050021, doi:10.3390/genes7050021. This article has 109 citations and is from a peer-reviewed journal.</w:t>
      </w:r>
    </w:p>
    <w:p>
      <w:pPr>
        <w:numPr>
          <w:ilvl w:val="0"/>
          <w:numId w:val="1001"/>
        </w:numPr>
      </w:pPr>
      <w:r>
        <w:t xml:space="preserve">(hergovich2016therolesof pages 3-5): Alexander Hergovich. The roles of ndr protein kinases in hippo signalling. Genes, 7:21, May 2016. URL: https://doi.org/10.3390/genes7050021, doi:10.3390/genes7050021. This article has 109 citations and is from a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(kohler2012functionalcharacterizationof pages 74-78): R. Kohler. Functional characterization of human ndr kinases : novel regulatory mechanisms and a path towards direct substrates. Unknown journal, 2012. URL: https://doi.org/10.5451/unibas-005936940, doi:10.5451/unibas-005936940. This article has 0 citations.</w:t>
      </w:r>
    </w:p>
    <w:p>
      <w:pPr>
        <w:numPr>
          <w:ilvl w:val="0"/>
          <w:numId w:val="1001"/>
        </w:numPr>
      </w:pPr>
      <w:r>
        <w:t xml:space="preserve">(martin2021thestk38–xpo1axis pages 1-2):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1"/>
        </w:numPr>
      </w:pPr>
      <w:r>
        <w:t xml:space="preserve">(martin2021thestk38–xpo1axis pages 4-6):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(stegert2005regulationofndr pages 2-3): Mario R. Stegert, Alexander Hergovich, Rastislav Tamaskovic, Samuel J. Bichsel, and Brian A. Hemmings. Regulation of ndr protein kinase by hydrophobic motif phosphorylation mediated by the mammalian ste20-like kinase mst3. Molecular and Cellular Biology, 25:11019-11029, Dec 2005. URL: https://doi.org/10.1128/mcb.25.24.11019-11029.2005, doi:10.1128/mcb.25.24.11019-11029.2005. This article has 171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