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MAP4K5 (KHS1) is assigned to the STE group, germinal-center kinase subfamily 1 (GCK-I) within the human kinome (manning2002theproteinkinase pages 3-3).</w:t>
      </w:r>
      <w:r>
        <w:br/>
      </w:r>
      <w:r>
        <w:t xml:space="preserve">• Verified animal orthologs include Mus musculus Map4k5, Rattus norvegicus Map4k5, Drosophila melanogaster Sps1 and Caenorhabditis elegans mig-15, demonstrating conservation from invertebrates to mammals (manning2002theproteinkinase pages 7-8).</w:t>
      </w:r>
      <w:r>
        <w:br/>
      </w:r>
      <w:r>
        <w:t xml:space="preserve">• Plant homologs cluster in Clade III subclade IIIC, typified by Arabidopsis thaliana AtMAP4K5, indicating retention of MAP4K5-like kinases across the green lineage (pan2021acomprehensivephylogenetic pages 4-5).</w:t>
      </w:r>
      <w:r>
        <w:br/>
      </w:r>
      <w:r>
        <w:t xml:space="preserve">• Within the STE group, MAP4K5 is most closely related to MAP4K1-4 and MAP4K6-7, all sharing an N-terminal kinase domain followed by proline-rich/PEST and CNH regions characteristic of GCK-I enzymes (thiriet2013cytoplasmicproteinserinethreonine pages 4-7, marcotte2017germinal‐centerkinase‐likekinase pages 1-5).</w:t>
      </w:r>
    </w:p>
    <w:bookmarkEnd w:id="9"/>
    <w:bookmarkStart w:id="10" w:name="reaction-catalyzed"/>
    <w:p>
      <w:pPr>
        <w:pStyle w:val="Heading2"/>
      </w:pPr>
      <w:r>
        <w:t xml:space="preserve">Reaction Catalyzed</w:t>
      </w:r>
    </w:p>
    <w:p>
      <w:pPr>
        <w:pStyle w:val="FirstParagraph"/>
      </w:pPr>
      <w:r>
        <w:t xml:space="preserve">ATP + protein-L-Ser/Thr ⇌ ADP + protein-O-phospho-L-Ser/Thr (liu2022ste20phosphorylationof pages 5-6).</w:t>
      </w:r>
    </w:p>
    <w:bookmarkEnd w:id="10"/>
    <w:bookmarkStart w:id="11" w:name="cofactor-requirements"/>
    <w:p>
      <w:pPr>
        <w:pStyle w:val="Heading2"/>
      </w:pPr>
      <w:r>
        <w:t xml:space="preserve">Cofactor Requirements</w:t>
      </w:r>
    </w:p>
    <w:p>
      <w:pPr>
        <w:pStyle w:val="FirstParagraph"/>
      </w:pPr>
      <w:r>
        <w:t xml:space="preserve">Catalysis requires divalent metal ions; Mg²⁺ or Mn²⁺ are supplied in standard STE-kinase assay buffers (manning2002theproteinkinase pages 7-8, miller2019comprehensiveprofilingof pages 30-31).</w:t>
      </w:r>
    </w:p>
    <w:bookmarkEnd w:id="11"/>
    <w:bookmarkStart w:id="12" w:name="substrate-specificity"/>
    <w:p>
      <w:pPr>
        <w:pStyle w:val="Heading2"/>
      </w:pPr>
      <w:r>
        <w:t xml:space="preserve">Substrate Specificity</w:t>
      </w:r>
    </w:p>
    <w:p>
      <w:pPr>
        <w:pStyle w:val="FirstParagraph"/>
      </w:pPr>
      <w:r>
        <w:t xml:space="preserve">• Direct phosphorylation of activation-loop threonines has been demonstrated for AMPKα1 T183, SIK1 T182, SIK2 T175 and SIK3 T221; substitution of these residues abolishes modification, indicating strict preference for a central Thr in an activation-loop context (liu2022ste20phosphorylationof pages 4-5, liu2022ste20phosphorylationof pages 8-9).</w:t>
      </w:r>
      <w:r>
        <w:br/>
      </w:r>
      <w:r>
        <w:t xml:space="preserve">• A global consensus peptide motif for MAP4K5 was not reported in the profiled STE20 kinase dataset (miller2019comprehensiveprofilingof pages 30-31).</w:t>
      </w:r>
    </w:p>
    <w:bookmarkEnd w:id="12"/>
    <w:bookmarkStart w:id="13" w:name="structure"/>
    <w:p>
      <w:pPr>
        <w:pStyle w:val="Heading2"/>
      </w:pPr>
      <w:r>
        <w:t xml:space="preserve">Structure</w:t>
      </w:r>
    </w:p>
    <w:p>
      <w:pPr>
        <w:pStyle w:val="FirstParagraph"/>
      </w:pPr>
      <w:r>
        <w:t xml:space="preserve">Domain organisation</w:t>
      </w:r>
      <w:r>
        <w:br/>
      </w:r>
      <w:r>
        <w:t xml:space="preserve">– N-terminal catalytic domain (~aa 1–300) executing phosphotransfer (marcotte2017germinal‐centerkinase‐likekinase pages 1-5).</w:t>
      </w:r>
      <w:r>
        <w:br/>
      </w:r>
      <w:r>
        <w:t xml:space="preserve">– Central proline-rich/PEST segment containing SH3-binding motifs and degrons (thiriet2013cytoplasmicproteinserinethreonine pages 4-7).</w:t>
      </w:r>
      <w:r>
        <w:br/>
      </w:r>
      <w:r>
        <w:t xml:space="preserve">– C-terminal citron-homology (CNH) domain and leucine-rich element mediating scaffold interactions (marcotte2017germinal‐centerkinase‐likekinase pages 1-5).</w:t>
      </w:r>
    </w:p>
    <w:p>
      <w:pPr>
        <w:pStyle w:val="BodyText"/>
      </w:pPr>
      <w:r>
        <w:t xml:space="preserve">Three-dimensional organisation</w:t>
      </w:r>
      <w:r>
        <w:br/>
      </w:r>
      <w:r>
        <w:t xml:space="preserve">• The crystal structure of the isolated kinase domain reveals an activation-loop-swapped dimer; α-AL and α-EF helices from one protomer insert into the partner active site, stabilising an active configuration (marcotte2017germinal‐centerkinase‐likekinase pages 9-13).</w:t>
      </w:r>
      <w:r>
        <w:br/>
      </w:r>
      <w:r>
        <w:t xml:space="preserve">• Catalytic Lys45 forms the canonical salt bridge with Glu61 in the C-helix, and regulatory-spine residues Met64-His134-Ile137-Phe155 align in the active state (marcotte2017germinal‐centerkinase‐likekinase pages 9-13).</w:t>
      </w:r>
      <w:r>
        <w:br/>
      </w:r>
      <w:r>
        <w:t xml:space="preserve">• Activation-loop residue Ser170 contacts substrate; its phosphorylation enhances substrate binding and catalytic efficiency (marcotte2017germinal‐centerkinase‐likekinase pages 9-13).</w:t>
      </w:r>
      <w:r>
        <w:br/>
      </w:r>
      <w:r>
        <w:t xml:space="preserve">• A structured acidic C-terminal extension docks onto a basic groove of the neighbouring protomer, reminiscent of PIF-tide engagement in AGC kinases (marcotte2017germinal‐centerkinase‐likekinase pages 9-13).</w:t>
      </w:r>
    </w:p>
    <w:bookmarkEnd w:id="13"/>
    <w:bookmarkStart w:id="14" w:name="regulation"/>
    <w:p>
      <w:pPr>
        <w:pStyle w:val="Heading2"/>
      </w:pPr>
      <w:r>
        <w:t xml:space="preserve">Regulation</w:t>
      </w:r>
    </w:p>
    <w:p>
      <w:pPr>
        <w:pStyle w:val="FirstParagraph"/>
      </w:pPr>
      <w:r>
        <w:t xml:space="preserve">Post-translational modifications</w:t>
      </w:r>
      <w:r>
        <w:br/>
      </w:r>
      <w:r>
        <w:t xml:space="preserve">• Ser170 phosphorylation is indispensable; dephosphorylated enzyme or S170A mutant retains ≤3 % activity (marcotte2017germinal‐centerkinase‐likekinase pages 25-30).</w:t>
      </w:r>
      <w:r>
        <w:br/>
      </w:r>
      <w:r>
        <w:t xml:space="preserve">• Ser174 is likewise critical; S174A abrogates phosphorylation of AMPKα1 and SIK3 (liu2022ste20phosphorylationof pages 5-6).</w:t>
      </w:r>
      <w:r>
        <w:br/>
      </w:r>
      <w:r>
        <w:t xml:space="preserve">• SARS-CoV-2 3CLpro cleaves MAP4K5, generating fragments with reduced kinase activity (pablos2021mechanisticinsightsinto pages 30-32).</w:t>
      </w:r>
      <w:r>
        <w:br/>
      </w:r>
      <w:r>
        <w:t xml:space="preserve">• Central PEST motifs are proposed degradation signals, although the cognate ubiquitin ligase is not identified (thiriet2013cytoplasmicproteinserinethreonine pages 4-7).</w:t>
      </w:r>
    </w:p>
    <w:p>
      <w:pPr>
        <w:pStyle w:val="BodyText"/>
      </w:pPr>
      <w:r>
        <w:t xml:space="preserve">Conformational/allosteric control</w:t>
      </w:r>
      <w:r>
        <w:br/>
      </w:r>
      <w:r>
        <w:t xml:space="preserve">Activation-loop phosphorylation promotes and locks the swapped-dimer in an active conformation; loss of the phosphate destabilises dimer integrity and catalytic turnover (marcotte2017germinal‐centerkinase‐likekinase pages 9-13).</w:t>
      </w:r>
    </w:p>
    <w:bookmarkEnd w:id="14"/>
    <w:bookmarkStart w:id="15" w:name="function"/>
    <w:p>
      <w:pPr>
        <w:pStyle w:val="Heading2"/>
      </w:pPr>
      <w:r>
        <w:t xml:space="preserve">Function</w:t>
      </w:r>
    </w:p>
    <w:p>
      <w:pPr>
        <w:pStyle w:val="FirstParagraph"/>
      </w:pPr>
      <w:r>
        <w:t xml:space="preserve">• Acts upstream of the stress-activated JNK pathway via TRAF2 engagement and selective binding to CRK/CRKL adaptors, integrating integrin and TNF-α signals (thiriet2013cytoplasmicproteinserinethreonine pages 4-7).</w:t>
      </w:r>
      <w:r>
        <w:br/>
      </w:r>
      <w:r>
        <w:t xml:space="preserve">• Functions as an alternative AMPK upstream kinase: over-expression in LKB1/CaMKK2-deficient HEK293T cells increases AMPKα T172 phosphorylation and downstream ACC1 activation (liu2022ste20phosphorylationof pages 5-6).</w:t>
      </w:r>
      <w:r>
        <w:br/>
      </w:r>
      <w:r>
        <w:t xml:space="preserve">• Directly activates SIK1/2/3 by phosphorylating their activation-loop threonines (liu2022ste20phosphorylationof pages 8-9).</w:t>
      </w:r>
      <w:r>
        <w:br/>
      </w:r>
      <w:r>
        <w:t xml:space="preserve">• Forms complexes with CRK, CRKL, NCK, GRB2, Abl kinases and SOS1/2, supporting assembly of multiprotein signalling platforms (thiriet2013cytoplasmicproteinserinethreonine pages 4-7).</w:t>
      </w:r>
      <w:r>
        <w:br/>
      </w:r>
      <w:r>
        <w:t xml:space="preserve">• Expression has been demonstrated in human embryonic kidney-derived HEK293T cells used for biochemical studies (liu2022ste20phosphorylationof pages 5-6).</w:t>
      </w:r>
    </w:p>
    <w:bookmarkEnd w:id="15"/>
    <w:bookmarkStart w:id="16" w:name="inhibitors"/>
    <w:p>
      <w:pPr>
        <w:pStyle w:val="Heading2"/>
      </w:pPr>
      <w:r>
        <w:t xml:space="preserve">Inhibitors</w:t>
      </w:r>
    </w:p>
    <w:p>
      <w:pPr>
        <w:pStyle w:val="FirstParagraph"/>
      </w:pPr>
      <w:r>
        <w:t xml:space="preserve">• Compound 1: ATP-competitive inhibitor; IC₅₀ ≈ 110 nM against MAP4K5 kinase domain, forming hinge hydrogen bonds with Asp100 and occupying a pocket adjacent to catalytic Lys45 (marcotte2017germinal‐centerkinase‐likekinase pages 25-30).</w:t>
      </w:r>
      <w:r>
        <w:br/>
      </w:r>
      <w:r>
        <w:t xml:space="preserve">• Vemurafenib (PLX4032): binds MAP4K5 with 48 % residual activity at 100 nM in KINOMEscan profiling, indicating moderate affinity (klovekorn2021fromofftoontarget pages 1-8).</w:t>
      </w:r>
    </w:p>
    <w:bookmarkEnd w:id="16"/>
    <w:bookmarkStart w:id="17" w:name="other-comments"/>
    <w:p>
      <w:pPr>
        <w:pStyle w:val="Heading2"/>
      </w:pPr>
      <w:r>
        <w:t xml:space="preserve">Other Comments</w:t>
      </w:r>
    </w:p>
    <w:p>
      <w:pPr>
        <w:pStyle w:val="FirstParagraph"/>
      </w:pPr>
      <w:r>
        <w:t xml:space="preserve">• Proteolytic processing by SARS-CoV-2 3CLpro links MAP4K5 to host kinase remodeling during COVID-19 infection (pablos2021mechanisticinsightsinto pages 30-32).</w:t>
      </w:r>
      <w:r>
        <w:br/>
      </w:r>
      <w:r>
        <w:t xml:space="preserve">• Structural and functional similarities to other GCK-I kinases implicate MAP4K5 in inflammatory and oncogenic processes (marcotte2017germinal‐centerkinase‐likekinase pages 1-5).</w:t>
      </w:r>
    </w:p>
    <w:p>
      <w:pPr>
        <w:pStyle w:val="BodyText"/>
      </w:pPr>
      <w:r>
        <w:t xml:space="preserve">References</w:t>
      </w:r>
    </w:p>
    <w:p>
      <w:pPr>
        <w:numPr>
          <w:ilvl w:val="0"/>
          <w:numId w:val="1001"/>
        </w:numPr>
      </w:pPr>
      <w:r>
        <w:t xml:space="preserve">(liu2022ste20phosphorylationof pages 4-5): Yuxiang Liu, Tao V. Wang, Yunfeng Cui, Chaoyi Li, Lifen Jiang, and Yi Rao. Ste20 phosphorylation of ampk-related kinases revealed by biochemical purifications combined with genetics. Journal of Biological Chemistry, 298:101928, May 2022. URL: https://doi.org/10.1016/j.jbc.2022.101928, doi:10.1016/j.jbc.2022.101928. This article has 7 citations and is from a domain leading peer-reviewed journal.</w:t>
      </w:r>
    </w:p>
    <w:p>
      <w:pPr>
        <w:numPr>
          <w:ilvl w:val="0"/>
          <w:numId w:val="1001"/>
        </w:numPr>
      </w:pPr>
      <w:r>
        <w:t xml:space="preserve">(liu2022ste20phosphorylationof pages 5-6): Yuxiang Liu, Tao V. Wang, Yunfeng Cui, Chaoyi Li, Lifen Jiang, and Yi Rao. Ste20 phosphorylation of ampk-related kinases revealed by biochemical purifications combined with genetics. Journal of Biological Chemistry, 298:101928, May 2022. URL: https://doi.org/10.1016/j.jbc.2022.101928, doi:10.1016/j.jbc.2022.101928. This article has 7 citations and is from a domain leading peer-reviewed journal.</w:t>
      </w:r>
    </w:p>
    <w:p>
      <w:pPr>
        <w:numPr>
          <w:ilvl w:val="0"/>
          <w:numId w:val="1001"/>
        </w:numPr>
      </w:pPr>
      <w:r>
        <w:t xml:space="preserve">(marcotte2017germinal‐centerkinase‐likekinase pages 9-13):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(pablos2021mechanisticinsightsinto pages 30-32): I. Pablos, Y. Machado, Hugo C. Ramos de Jesus, Y. Mohamud, Reinhild Kappelhoff, C. Lindskog, Marli Vlok, Peter A. Bell, Georgina S. Butler, Peter M. Grin, Quynh T. Cao, J. Nguyen, N. Solis, Srinivas Abbina, Wioletta Rut, J. Vederas, L. Szekely, A. Szakos, M. Drąg, J. Kizhakkedathu, K. Mossman, J. Hirota, E. Jan, Honglin Luo, A. Banerjee, and C. Overall. Mechanistic insights into covid-19 by global analysis of the sars-cov-2 3clpro substrate degradome. Cell Reports, 37:109892-109892, Oct 2021. URL: https://doi.org/10.1016/j.celrep.2021.109892, doi:10.1016/j.celrep.2021.109892. This article has 101 citations and is from a highest quality peer-reviewed journal.</w:t>
      </w:r>
    </w:p>
    <w:p>
      <w:pPr>
        <w:numPr>
          <w:ilvl w:val="0"/>
          <w:numId w:val="1001"/>
        </w:numPr>
      </w:pPr>
      <w:r>
        <w:t xml:space="preserve">(thiriet2013cytoplasmicproteinserinethreonine pages 4-7): Marc Thiriet. Cytoplasmic protein serine/threonine kinases. Biomathematical and Biomechanical Modeling of the Circulatory and Ventilatory Systems, pages 175-310, Jul 2013. URL: https://doi.org/10.1007/978-1-4614-4370-4_5, doi:10.1007/978-1-4614-4370-4_5. This article has 12 citations.</w:t>
      </w:r>
    </w:p>
    <w:p>
      <w:pPr>
        <w:numPr>
          <w:ilvl w:val="0"/>
          <w:numId w:val="1001"/>
        </w:numPr>
      </w:pPr>
      <w:r>
        <w:t xml:space="preserve">(liu2022ste20phosphorylationof pages 8-9): Yuxiang Liu, Tao V. Wang, Yunfeng Cui, Chaoyi Li, Lifen Jiang, and Yi Rao. Ste20 phosphorylation of ampk-related kinases revealed by biochemical purifications combined with genetics. Journal of Biological Chemistry, 298:101928, May 2022. URL: https://doi.org/10.1016/j.jbc.2022.101928, doi:10.1016/j.jbc.2022.101928. This article has 7 citations and is from a domain leading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(marcotte2017germinal‐centerkinase‐likekinase pages 1-5):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(marcotte2017germinal‐centerkinase‐likekinase pages 25-30):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(klovekorn2021fromofftoontarget pages 1-8): Philip Klövekorn, Bent Pfaffenrot, Michael Juchum, R. Selig, W. Albrecht, L. Zender, and S. Laufer. From off-to on-target: new braf-inhibitor-template-derived compounds selectively targeting mitogen activated protein kinase kinase 4 (mkk4). European journal of medicinal chemistry, pages 112963, Oct 2021. URL: https://doi.org/10.1016/j.ejmech.2020.112963, doi:10.1016/j.ejmech.2020.112963. This article has 14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(miller2019comprehensiveprofilingof pages 30-31):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(pan2021acomprehensivephylogenetic pages 4-5): L. Pan, Cássio Flávio Fonseca de Lima, L. D. Vu, and Ive De Smet. A comprehensive phylogenetic analysis of the map4k family in the green lineage. Frontiers in Plant Science, Aug 2021. URL: https://doi.org/10.3389/fpls.2021.650171, doi:10.3389/fpls.2021.650171. This article has 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2025-07-02T17:27:15Z</dcterms:created>
  <dcterms:modified xsi:type="dcterms:W3CDTF">2025-07-02T17:27:15Z</dcterms:modified>
</cp:coreProperties>
</file>

<file path=docProps/custom.xml><?xml version="1.0" encoding="utf-8"?>
<Properties xmlns="http://schemas.openxmlformats.org/officeDocument/2006/custom-properties" xmlns:vt="http://schemas.openxmlformats.org/officeDocument/2006/docPropsVTypes"/>
</file>