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Kinome: AGC group → DMPK/ROCK/MRCK sub-family (manning2002theproteinkinase pages 7-8)</w:t>
      </w:r>
      <w:r>
        <w:br/>
      </w:r>
      <w:r>
        <w:t xml:space="preserve">• Closest human paralogs: MRCKα (85 % identity) and MRCKγ (72 %) within kinase domain (unbekandt2014theactinmyosinregulatory pages 2-4)</w:t>
      </w:r>
      <w:r>
        <w:br/>
      </w:r>
      <w:r>
        <w:t xml:space="preserve">• Representative orthologs: Mus musculus Cdc42bpb, Danio rerio cdc42bpb, Drosophila melanogaster Genghis Khan, Caenorhabditis elegans MRCK-1 (unbekandt2014theactinmyosinregulatory pages 1-2)</w:t>
      </w:r>
      <w:r>
        <w:br/>
      </w:r>
      <w:r>
        <w:t xml:space="preserve">• Shares 45–50 % kinase-domain identity with ROCK1/2, reflecting divergence among Rho-GTPase effector kinases (ruscetta2023opportunitiesandchallenges pages 1-2)</w:t>
      </w:r>
    </w:p>
    <w:bookmarkEnd w:id="9"/>
    <w:bookmarkStart w:id="10" w:name="reaction-catalyzed"/>
    <w:p>
      <w:pPr>
        <w:pStyle w:val="Heading2"/>
      </w:pPr>
      <w:r>
        <w:t xml:space="preserve">Reaction Catalyzed</w:t>
      </w:r>
    </w:p>
    <w:p>
      <w:pPr>
        <w:pStyle w:val="FirstParagraph"/>
      </w:pPr>
      <w:r>
        <w:t xml:space="preserve">ATP + protein-Ser/Thr ⇌ ADP + protein-O-phospho-Ser/Thr (unbekandt2014theactinmyosinregulatory pages 1-2)</w:t>
      </w:r>
    </w:p>
    <w:bookmarkEnd w:id="10"/>
    <w:bookmarkStart w:id="11" w:name="cofactor-requirements"/>
    <w:p>
      <w:pPr>
        <w:pStyle w:val="Heading2"/>
      </w:pPr>
      <w:r>
        <w:t xml:space="preserve">Cofactor Requirements</w:t>
      </w:r>
    </w:p>
    <w:p>
      <w:pPr>
        <w:pStyle w:val="FirstParagraph"/>
      </w:pPr>
      <w:r>
        <w:t xml:space="preserve">Catalytic activity requires Mg²⁺; Mn²⁺ can substitute in vitro (unbekandt2020thecdc42effector pages 1-3)</w:t>
      </w:r>
    </w:p>
    <w:bookmarkEnd w:id="11"/>
    <w:bookmarkStart w:id="12" w:name="substrate-specificity"/>
    <w:p>
      <w:pPr>
        <w:pStyle w:val="Heading2"/>
      </w:pPr>
      <w:r>
        <w:t xml:space="preserve">Substrate Specificity</w:t>
      </w:r>
    </w:p>
    <w:p>
      <w:pPr>
        <w:pStyle w:val="FirstParagraph"/>
      </w:pPr>
      <w:r>
        <w:t xml:space="preserve">Consensus motif: basic residues at −3/−2 and strong exclusion of acidic side chains, yielding R/K-x-x-S/T preference (johnson2023anatlasof pages 1-2)</w:t>
      </w:r>
    </w:p>
    <w:bookmarkEnd w:id="12"/>
    <w:bookmarkStart w:id="13" w:name="structure"/>
    <w:p>
      <w:pPr>
        <w:pStyle w:val="Heading2"/>
      </w:pPr>
      <w:r>
        <w:t xml:space="preserve">Structure</w:t>
      </w:r>
    </w:p>
    <w:p>
      <w:pPr>
        <w:pStyle w:val="FirstParagraph"/>
      </w:pPr>
      <w:r>
        <w:t xml:space="preserve">• Domain layout (N→C): capped-helix bundle ▸ kinase domain ▸ coiled-coil/KIM ▸ C1 ▸ PH ▸ CNH ▸ CRIB (zhao2015myotonicdystrophykinaserelated pages 3-4)</w:t>
      </w:r>
      <w:r>
        <w:br/>
      </w:r>
      <w:r>
        <w:t xml:space="preserve">• Crystal structures: apo/ADP (PDB 4UAK) shows active conformation without activation-loop phosphorylation (unbekandt2020thecdc42effector pages 1-3)</w:t>
      </w:r>
      <w:r>
        <w:br/>
      </w:r>
      <w:r>
        <w:t xml:space="preserve">• Inhibitor complexes: BDP5290 (PDB 4UAL), BDP9066 (PDB 5OTF), BDP8900 (PDB 5OTE) bind hinge via Asp154/Tyr156; gatekeeper Thr137 plus conserved water complete catalytic spine (ruscetta2023opportunitiesandchallenges pages 11-14)</w:t>
      </w:r>
      <w:r>
        <w:br/>
      </w:r>
      <w:r>
        <w:t xml:space="preserve">• Catalytic Lys105 engages ATP β-phosphate; ordered activation loop and properly aligned αC-helix support constitutive catalytic geometry (unbekandt2020thecdc42effector pages 1-3)</w:t>
      </w:r>
      <w:r>
        <w:br/>
      </w:r>
      <w:r>
        <w:t xml:space="preserve">• N-terminal dimerization helices mediate stable kinase dimers; higher-order tetramers observed in solution (zhao2015myotonicdystrophykinaserelated pages 4-5)</w:t>
      </w:r>
    </w:p>
    <w:bookmarkEnd w:id="13"/>
    <w:bookmarkStart w:id="14" w:name="regulation"/>
    <w:p>
      <w:pPr>
        <w:pStyle w:val="Heading2"/>
      </w:pPr>
      <w:r>
        <w:t xml:space="preserve">Regulation</w:t>
      </w:r>
    </w:p>
    <w:p>
      <w:pPr>
        <w:pStyle w:val="FirstParagraph"/>
      </w:pPr>
      <w:r>
        <w:t xml:space="preserve">• Upstream activator: membrane recruitment through CRIB binding to CDC42-GTP (leung1998myotonicdystrophykinaserelated pages 6-9)</w:t>
      </w:r>
      <w:r>
        <w:br/>
      </w:r>
      <w:r>
        <w:t xml:space="preserve">• Autoinhibitory KIM within coiled-coil suppresses activity until relieved by conformational change (zhao2015myotonicdystrophykinaserelated pages 3-4)</w:t>
      </w:r>
      <w:r>
        <w:br/>
      </w:r>
      <w:r>
        <w:t xml:space="preserve">• Lipid control: diacylglycerol/phorbol-ester binding to C1 increases activity ~3-fold (zhao2015myotonicdystrophykinaserelated pages 3-4)</w:t>
      </w:r>
      <w:r>
        <w:br/>
      </w:r>
      <w:r>
        <w:t xml:space="preserve">• Autophosphorylation: Thr1108 in cis; serves as activity biomarker without altering catalytic rate (unbekandt2020thecdc42effector pages 1-3)</w:t>
      </w:r>
      <w:r>
        <w:br/>
      </w:r>
      <w:r>
        <w:t xml:space="preserve">• Substrate-directed feedback: phosphorylation of MYPT1 Thr697/Thr855 inhibits myosin phosphatase, reinforcing actomyosin tension (zhao2015myotonicdystrophykinaserelated pages 5-6)</w:t>
      </w:r>
    </w:p>
    <w:bookmarkEnd w:id="14"/>
    <w:bookmarkStart w:id="15" w:name="function"/>
    <w:p>
      <w:pPr>
        <w:pStyle w:val="Heading2"/>
      </w:pPr>
      <w:r>
        <w:t xml:space="preserve">Function</w:t>
      </w:r>
    </w:p>
    <w:p>
      <w:pPr>
        <w:pStyle w:val="FirstParagraph"/>
      </w:pPr>
      <w:r>
        <w:t xml:space="preserve">• Expression: ubiquitous with highest transcript levels in brain; overall abundance exceeds MRCKγ across tissues (unbekandt2020thecdc42effector pages 3-4)</w:t>
      </w:r>
      <w:r>
        <w:br/>
      </w:r>
      <w:r>
        <w:t xml:space="preserve">• Upstream regulators: CDC42-GTP (primary) and Rac1-GTP (secondary) via CRIB (ruscetta2023opportunitiesandchallenges pages 2-6)</w:t>
      </w:r>
      <w:r>
        <w:br/>
      </w:r>
      <w:r>
        <w:t xml:space="preserve">• Verified substrates and partners:</w:t>
      </w:r>
      <w:r>
        <w:br/>
      </w:r>
      <w:r>
        <w:t xml:space="preserve">– MYL9/MLC2 Ser19/Thr18 → actomyosin contractility (unbekandt2014theactinmyosinregulatory pages 1-2)</w:t>
      </w:r>
      <w:r>
        <w:br/>
      </w:r>
      <w:r>
        <w:t xml:space="preserve">– MYPT1 (PPP1R12A) Thr654/Thr697/Thr855 → myosin phosphatase inhibition (zhao2015myotonicdystrophykinaserelated pages 5-6)</w:t>
      </w:r>
      <w:r>
        <w:br/>
      </w:r>
      <w:r>
        <w:t xml:space="preserve">– PPP1R12C phosphorylation modulates cortical actin (ruscetta2023opportunitiesandchallenges pages 2-6)</w:t>
      </w:r>
      <w:r>
        <w:br/>
      </w:r>
      <w:r>
        <w:t xml:space="preserve">– LIMK1/2 targeting via FAM89B/LRAP25 enables cofilin regulation (ruscetta2023opportunitiesandchallenges pages 2-6)</w:t>
      </w:r>
      <w:r>
        <w:br/>
      </w:r>
      <w:r>
        <w:t xml:space="preserve">– MYO18A–LURAP1 complex orchestrates lamellar retrograde flow (ruscetta2023opportunitiesandchallenges pages 2-6)</w:t>
      </w:r>
      <w:r>
        <w:br/>
      </w:r>
      <w:r>
        <w:t xml:space="preserve">• Biological roles: epithelial polarization, lamellipodial protrusion, cell migration, phagocytosis, and cancer cell invasion (unbekandt2014theactinmyosinregulatory pages 6-7)</w:t>
      </w:r>
    </w:p>
    <w:bookmarkEnd w:id="15"/>
    <w:bookmarkStart w:id="16" w:name="inhibitors"/>
    <w:p>
      <w:pPr>
        <w:pStyle w:val="Heading2"/>
      </w:pPr>
      <w:r>
        <w:t xml:space="preserve">Inhibitors</w:t>
      </w:r>
    </w:p>
    <w:p>
      <w:pPr>
        <w:pStyle w:val="FirstParagraph"/>
      </w:pPr>
      <w:r>
        <w:t xml:space="preserve">• BDP5290: Ki ≈ 4 nM; &gt;40-fold selectivity vs. ROCK (ruscetta2023opportunitiesandchallenges pages 9-11)</w:t>
      </w:r>
      <w:r>
        <w:br/>
      </w:r>
      <w:r>
        <w:t xml:space="preserve">• BDP8900: sub-nanomolar potency; high cellular selectivity (unbekandt2018discoveryofpotent pages 18-20)</w:t>
      </w:r>
      <w:r>
        <w:br/>
      </w:r>
      <w:r>
        <w:t xml:space="preserve">• BDP9066: sub-nanomolar potency; PDB 5OTF complex solved (ruscetta2023opportunitiesandchallenges pages 11-14)</w:t>
      </w:r>
      <w:r>
        <w:br/>
      </w:r>
      <w:r>
        <w:t xml:space="preserve">• DJ4: dual MRCK/ROCK inhibitor; IC₅₀ ≈ 0.1 µM for MRCKβ (ruscetta2023opportunitiesandchallenges pages 1-2)</w:t>
      </w:r>
      <w:r>
        <w:br/>
      </w:r>
      <w:r>
        <w:t xml:space="preserve">• Chelerythrine: non-ATP-competitive; IC₅₀ ≈ 1.8 µM (zhao2015myotonicdystrophykinaserelated pages 5-6)</w:t>
      </w:r>
      <w:r>
        <w:br/>
      </w:r>
      <w:r>
        <w:t xml:space="preserve">• Fasudil and Y-27632 inhibit MRCKβ with lower potency (zhao2015myotonicdystrophykinaserelated pages 4-5)</w:t>
      </w:r>
    </w:p>
    <w:bookmarkEnd w:id="16"/>
    <w:bookmarkStart w:id="17" w:name="other-comments"/>
    <w:p>
      <w:pPr>
        <w:pStyle w:val="Heading2"/>
      </w:pPr>
      <w:r>
        <w:t xml:space="preserve">Other Comments</w:t>
      </w:r>
    </w:p>
    <w:p>
      <w:pPr>
        <w:pStyle w:val="FirstParagraph"/>
      </w:pPr>
      <w:r>
        <w:t xml:space="preserve">• Gene amplification/over-expression correlates with aggressive ovarian, breast, cutaneous squamous carcinoma and glioma phenotypes; MRCK inhibition suppresses invasion and tumour growth in pre-clinical models (ruscetta2023opportunitiesandchallenges pages 6-9, unbekandt2018discoveryofpotent pages 18-20)</w:t>
      </w:r>
      <w:r>
        <w:br/>
      </w:r>
      <w:r>
        <w:t xml:space="preserve">• Autophosphorylation Thr1108 and MRCKα Ser1003 function as pharmacodynamic biomarkers for inhibitor response (unbekandt2020thecdc42effector pages 1-3)</w:t>
      </w:r>
    </w:p>
    <w:p>
      <w:pPr>
        <w:pStyle w:val="BodyText"/>
      </w:pPr>
      <w:r>
        <w:t xml:space="preserve">References</w:t>
      </w:r>
    </w:p>
    <w:p>
      <w:pPr>
        <w:numPr>
          <w:ilvl w:val="0"/>
          <w:numId w:val="1001"/>
        </w:numPr>
      </w:pPr>
      <w:r>
        <w:t xml:space="preserve">(ruscetta2023opportunitiesandchallenges pages 1-2):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(ruscetta2023opportunitiesandchallenges pages 11-14):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(ruscetta2023opportunitiesandchallenges pages 2-6):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(unbekandt2014theactinmyosinregulatory pages 1-2):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2-4):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(unbekandt2018discoveryofpotent pages 18-20): Mathieu Unbekandt, Simone Belshaw, Justin Bower, Maeve Clarke, Jacqueline Cordes, Diane Crighton, Daniel R. Croft, Martin J. Drysdale, Mathew J. Garnett, Kathryn Gill, Christopher Gray, David A. Greenhalgh, James A.M. Hall, Jennifer Konczal, Sergio Lilla, Duncan McArthur, Patricia McConnell, Laura McDonald, Lynn McGarry, Heather McKinnon, Carol McMenemy, Mokdad Mezna, Nicolas A. Morrice, June Munro, Gregory Naylor, Nicola Rath, Alexander W. Schüttelkopf, Mairi Sime, and Michael F. Olson. Discovery of potent and selective mrck inhibitors with therapeutic effect on skin cancer. Cancer research, 78 8:2096-2114, Apr 2018. URL: https://doi.org/10.1158/0008-5472.can-17-2870, doi:10.1158/0008-5472.can-17-2870. This article has 43 citations and is from a highest quality peer-reviewed journal.</w:t>
      </w:r>
    </w:p>
    <w:p>
      <w:pPr>
        <w:numPr>
          <w:ilvl w:val="0"/>
          <w:numId w:val="1001"/>
        </w:numPr>
      </w:pPr>
      <w:r>
        <w:t xml:space="preserve">(unbekandt2020thecdc42effector pages 1-3):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1"/>
        </w:numPr>
      </w:pPr>
      <w:r>
        <w:t xml:space="preserve">(zhao2015myotonicdystrophykinaserelated pages 4-5):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(zhao2015myotonicdystrophykinaserelated pages 5-6):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(leung1998myotonicdystrophykinaserelated pages 6-9):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374 citations and is from a domain leading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10732 citations and is from a highest quality peer-reviewed journal.</w:t>
      </w:r>
    </w:p>
    <w:p>
      <w:pPr>
        <w:numPr>
          <w:ilvl w:val="0"/>
          <w:numId w:val="1001"/>
        </w:numPr>
      </w:pPr>
      <w:r>
        <w:t xml:space="preserve">(ruscetta2023opportunitiesandchallenges pages 6-9):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(ruscetta2023opportunitiesandchallenges pages 9-11):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(unbekandt2014theactinmyosinregulatory pages 6-7):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(unbekandt2020thecdc42effector pages 3-4):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1"/>
        </w:numPr>
      </w:pPr>
      <w:r>
        <w:t xml:space="preserve">(zhao2015myotonicdystrophykinaserelated pages 3-4):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