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Teamwork Reflection: Outcomes of Feedback Session</w:t>
      </w:r>
    </w:p>
    <w:p w:rsidR="00000000" w:rsidDel="00000000" w:rsidP="00000000" w:rsidRDefault="00000000" w:rsidRPr="00000000" w14:paraId="00000002">
      <w:pPr>
        <w:spacing w:line="360" w:lineRule="auto"/>
        <w:jc w:val="center"/>
        <w:rPr>
          <w:rFonts w:ascii="Roboto" w:cs="Roboto" w:eastAsia="Roboto" w:hAnsi="Roboto"/>
          <w:b w:val="1"/>
          <w:color w:val="374151"/>
          <w:sz w:val="20"/>
          <w:szCs w:val="20"/>
        </w:rPr>
      </w:pPr>
      <w:r w:rsidDel="00000000" w:rsidR="00000000" w:rsidRPr="00000000">
        <w:rPr>
          <w:rFonts w:ascii="Roboto" w:cs="Roboto" w:eastAsia="Roboto" w:hAnsi="Roboto"/>
          <w:b w:val="1"/>
          <w:color w:val="374151"/>
          <w:sz w:val="20"/>
          <w:szCs w:val="20"/>
          <w:rtl w:val="0"/>
        </w:rPr>
        <w:t xml:space="preserve">Daniela Jiménez, Shaila Güereca, Bárbara Flores</w:t>
      </w:r>
    </w:p>
    <w:p w:rsidR="00000000" w:rsidDel="00000000" w:rsidP="00000000" w:rsidRDefault="00000000" w:rsidRPr="00000000" w14:paraId="00000003">
      <w:pPr>
        <w:jc w:val="both"/>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Our final project prompted deep reflection on how our team functioned, with a focus on the principles outlined in the "Teamwork" book. This process not only enhanced our theoretical knowledge but also provided practical insights into effective teamwork.</w:t>
      </w:r>
    </w:p>
    <w:p w:rsidR="00000000" w:rsidDel="00000000" w:rsidP="00000000" w:rsidRDefault="00000000" w:rsidRPr="00000000" w14:paraId="00000005">
      <w:pPr>
        <w:jc w:val="both"/>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Several aspects stood out as crucial to our success throughout the project. Establishing a collaborative atmosphere within our team played a significant role, facilitating communication and easy sharing of ideas. Trust, built through past collaborations, greatly bolstered our teamwork, resulting in a more efficient and cohesive team.</w:t>
      </w:r>
    </w:p>
    <w:p w:rsidR="00000000" w:rsidDel="00000000" w:rsidP="00000000" w:rsidRDefault="00000000" w:rsidRPr="00000000" w14:paraId="00000007">
      <w:pPr>
        <w:jc w:val="both"/>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08">
      <w:pPr>
        <w:jc w:val="both"/>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Our dedication to delivering excellent work manifested in our approach to tasks, decision-making, and overall team interactions. This commitment not only elevated the quality of our work but also instilled a constant drive for improvement, contributing significantly to the success of our project.</w:t>
      </w:r>
    </w:p>
    <w:p w:rsidR="00000000" w:rsidDel="00000000" w:rsidP="00000000" w:rsidRDefault="00000000" w:rsidRPr="00000000" w14:paraId="00000009">
      <w:pPr>
        <w:jc w:val="both"/>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0A">
      <w:pPr>
        <w:jc w:val="both"/>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The peer evaluation process allowed us to recognize each team member's strengths, including strong communication skills, effective problem-solving abilities, and a positive attitude. These attributes, combined with everyone's technical proficiency and dedication, formed the bedrock of our success.</w:t>
      </w:r>
    </w:p>
    <w:p w:rsidR="00000000" w:rsidDel="00000000" w:rsidP="00000000" w:rsidRDefault="00000000" w:rsidRPr="00000000" w14:paraId="0000000B">
      <w:pPr>
        <w:jc w:val="both"/>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0C">
      <w:pPr>
        <w:jc w:val="both"/>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Simultaneously, we identified areas where improvement was needed. Time management, task delegation, and flexibility were pinpointed as aspects requiring attention for enhanced efficiency. Recognizing the importance of communication, overcoming self-doubt, and remaining open to feedback emerged as critical elements for our ongoing improvement.</w:t>
      </w:r>
    </w:p>
    <w:p w:rsidR="00000000" w:rsidDel="00000000" w:rsidP="00000000" w:rsidRDefault="00000000" w:rsidRPr="00000000" w14:paraId="0000000D">
      <w:pPr>
        <w:jc w:val="both"/>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The feedback session served as an opportunity for open discussion. We deliberated on our strengths, areas for growth, and strategies to overcome challenges. This discourse reaffirmed our commitment to effective teamwork, ensuring that the lessons learned propel us forward in future projects.</w:t>
      </w:r>
    </w:p>
    <w:p w:rsidR="00000000" w:rsidDel="00000000" w:rsidP="00000000" w:rsidRDefault="00000000" w:rsidRPr="00000000" w14:paraId="0000000F">
      <w:pPr>
        <w:jc w:val="both"/>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In conclusion, this reflection on teamwork not only encompasses the principles from our course but also highlights the resilience, adaptability, and commitment to excellence within our team. It emphasizes that our journey together goes beyond simply completing a project; it is about continuously understanding, applying, and improving our skills in effective teamwork.</w:t>
      </w:r>
    </w:p>
    <w:p w:rsidR="00000000" w:rsidDel="00000000" w:rsidP="00000000" w:rsidRDefault="00000000" w:rsidRPr="00000000" w14:paraId="00000011">
      <w:pPr>
        <w:jc w:val="both"/>
        <w:rPr>
          <w:rFonts w:ascii="Roboto" w:cs="Roboto" w:eastAsia="Roboto" w:hAnsi="Roboto"/>
          <w:color w:val="374151"/>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